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AA" w:rsidRDefault="0013018E">
      <w:pPr>
        <w:rPr>
          <w:rFonts w:ascii="Arial Narrow" w:eastAsia="Arial Narrow" w:hAnsi="Arial Narrow" w:cs="Arial Narrow"/>
        </w:rPr>
      </w:pPr>
      <w:bookmarkStart w:id="0" w:name="_heading=h.gjdgxs" w:colFirst="0" w:colLast="0"/>
      <w:bookmarkEnd w:id="0"/>
      <w:r>
        <w:rPr>
          <w:rFonts w:ascii="Arial Narrow" w:eastAsia="Arial Narrow" w:hAnsi="Arial Narrow" w:cs="Arial Narrow"/>
        </w:rPr>
        <w:t>Bogotá, D.C., 18 septiembre de 2024</w:t>
      </w:r>
    </w:p>
    <w:p w:rsidR="00FC7BAA" w:rsidRDefault="00FC7BAA">
      <w:pPr>
        <w:rPr>
          <w:rFonts w:ascii="Arial Narrow" w:eastAsia="Arial Narrow" w:hAnsi="Arial Narrow" w:cs="Arial Narrow"/>
        </w:rPr>
      </w:pPr>
    </w:p>
    <w:p w:rsidR="00FC7BAA" w:rsidRDefault="00FC7BAA">
      <w:pPr>
        <w:spacing w:after="0"/>
        <w:rPr>
          <w:rFonts w:ascii="Arial Narrow" w:eastAsia="Arial Narrow" w:hAnsi="Arial Narrow" w:cs="Arial Narrow"/>
        </w:rPr>
      </w:pPr>
    </w:p>
    <w:p w:rsidR="00FC7BAA" w:rsidRDefault="0013018E">
      <w:pPr>
        <w:spacing w:after="0"/>
        <w:rPr>
          <w:rFonts w:ascii="Arial Narrow" w:eastAsia="Arial Narrow" w:hAnsi="Arial Narrow" w:cs="Arial Narrow"/>
        </w:rPr>
      </w:pPr>
      <w:r>
        <w:rPr>
          <w:rFonts w:ascii="Arial Narrow" w:eastAsia="Arial Narrow" w:hAnsi="Arial Narrow" w:cs="Arial Narrow"/>
        </w:rPr>
        <w:t>Doctora</w:t>
      </w:r>
    </w:p>
    <w:p w:rsidR="00FC7BAA" w:rsidRDefault="0013018E">
      <w:pPr>
        <w:spacing w:after="0"/>
        <w:rPr>
          <w:rFonts w:ascii="Arial Narrow" w:eastAsia="Arial Narrow" w:hAnsi="Arial Narrow" w:cs="Arial Narrow"/>
          <w:b/>
        </w:rPr>
      </w:pPr>
      <w:r>
        <w:rPr>
          <w:rFonts w:ascii="Arial Narrow" w:eastAsia="Arial Narrow" w:hAnsi="Arial Narrow" w:cs="Arial Narrow"/>
          <w:b/>
        </w:rPr>
        <w:t>ANA PAOLA GARCÍA SOTO</w:t>
      </w:r>
    </w:p>
    <w:p w:rsidR="00FC7BAA" w:rsidRDefault="0013018E">
      <w:pPr>
        <w:spacing w:after="0"/>
        <w:rPr>
          <w:rFonts w:ascii="Arial Narrow" w:eastAsia="Arial Narrow" w:hAnsi="Arial Narrow" w:cs="Arial Narrow"/>
        </w:rPr>
      </w:pPr>
      <w:r>
        <w:rPr>
          <w:rFonts w:ascii="Arial Narrow" w:eastAsia="Arial Narrow" w:hAnsi="Arial Narrow" w:cs="Arial Narrow"/>
        </w:rPr>
        <w:t>Presidenta</w:t>
      </w:r>
    </w:p>
    <w:p w:rsidR="00FC7BAA" w:rsidRDefault="0013018E">
      <w:pPr>
        <w:spacing w:after="0"/>
        <w:rPr>
          <w:rFonts w:ascii="Arial Narrow" w:eastAsia="Arial Narrow" w:hAnsi="Arial Narrow" w:cs="Arial Narrow"/>
        </w:rPr>
      </w:pPr>
      <w:r>
        <w:rPr>
          <w:rFonts w:ascii="Arial Narrow" w:eastAsia="Arial Narrow" w:hAnsi="Arial Narrow" w:cs="Arial Narrow"/>
        </w:rPr>
        <w:t>Comisión Primera Constitucional</w:t>
      </w:r>
    </w:p>
    <w:p w:rsidR="00FC7BAA" w:rsidRDefault="0013018E">
      <w:pPr>
        <w:spacing w:after="0"/>
        <w:rPr>
          <w:rFonts w:ascii="Arial Narrow" w:eastAsia="Arial Narrow" w:hAnsi="Arial Narrow" w:cs="Arial Narrow"/>
        </w:rPr>
      </w:pPr>
      <w:r>
        <w:rPr>
          <w:rFonts w:ascii="Arial Narrow" w:eastAsia="Arial Narrow" w:hAnsi="Arial Narrow" w:cs="Arial Narrow"/>
        </w:rPr>
        <w:t>Cámara de Representantes</w:t>
      </w:r>
    </w:p>
    <w:p w:rsidR="00FC7BAA" w:rsidRDefault="0013018E">
      <w:pPr>
        <w:rPr>
          <w:rFonts w:ascii="Arial Narrow" w:eastAsia="Arial Narrow" w:hAnsi="Arial Narrow" w:cs="Arial Narrow"/>
          <w:b/>
        </w:rPr>
      </w:pPr>
      <w:r>
        <w:rPr>
          <w:rFonts w:ascii="Arial Narrow" w:eastAsia="Arial Narrow" w:hAnsi="Arial Narrow" w:cs="Arial Narrow"/>
          <w:b/>
        </w:rPr>
        <w:tab/>
      </w:r>
    </w:p>
    <w:p w:rsidR="00FC7BAA" w:rsidRDefault="0013018E">
      <w:pPr>
        <w:rPr>
          <w:rFonts w:ascii="Arial Narrow" w:eastAsia="Arial Narrow" w:hAnsi="Arial Narrow" w:cs="Arial Narrow"/>
          <w:b/>
        </w:rPr>
      </w:pPr>
      <w:r>
        <w:rPr>
          <w:rFonts w:ascii="Arial Narrow" w:eastAsia="Arial Narrow" w:hAnsi="Arial Narrow" w:cs="Arial Narrow"/>
          <w:b/>
        </w:rPr>
        <w:t xml:space="preserve">Referencia: </w:t>
      </w:r>
      <w:r>
        <w:rPr>
          <w:rFonts w:ascii="Arial Narrow" w:eastAsia="Arial Narrow" w:hAnsi="Arial Narrow" w:cs="Arial Narrow"/>
        </w:rPr>
        <w:t xml:space="preserve">Informe de ponencia para </w:t>
      </w:r>
      <w:r>
        <w:rPr>
          <w:rFonts w:ascii="Arial Narrow" w:eastAsia="Arial Narrow" w:hAnsi="Arial Narrow" w:cs="Arial Narrow"/>
          <w:b/>
          <w:i/>
          <w:u w:val="single"/>
        </w:rPr>
        <w:t>Primer Debate</w:t>
      </w:r>
      <w:r>
        <w:rPr>
          <w:rFonts w:ascii="Arial Narrow" w:eastAsia="Arial Narrow" w:hAnsi="Arial Narrow" w:cs="Arial Narrow"/>
        </w:rPr>
        <w:t xml:space="preserve"> al Proyecto de Acto Legislativo No. 202 de 2024 Cámara.</w:t>
      </w:r>
    </w:p>
    <w:p w:rsidR="00FC7BAA" w:rsidRDefault="00FC7BAA">
      <w:pPr>
        <w:rPr>
          <w:rFonts w:ascii="Arial Narrow" w:eastAsia="Arial Narrow" w:hAnsi="Arial Narrow" w:cs="Arial Narrow"/>
          <w:b/>
        </w:rPr>
      </w:pPr>
    </w:p>
    <w:p w:rsidR="00FC7BAA" w:rsidRDefault="0013018E">
      <w:pPr>
        <w:rPr>
          <w:rFonts w:ascii="Arial Narrow" w:eastAsia="Arial Narrow" w:hAnsi="Arial Narrow" w:cs="Arial Narrow"/>
          <w:b/>
        </w:rPr>
      </w:pPr>
      <w:r>
        <w:rPr>
          <w:rFonts w:ascii="Arial Narrow" w:eastAsia="Arial Narrow" w:hAnsi="Arial Narrow" w:cs="Arial Narrow"/>
          <w:b/>
        </w:rPr>
        <w:t>Honorable Representante:</w:t>
      </w:r>
    </w:p>
    <w:p w:rsidR="00FC7BAA" w:rsidRDefault="00FC7BAA">
      <w:pPr>
        <w:rPr>
          <w:rFonts w:ascii="Arial Narrow" w:eastAsia="Arial Narrow" w:hAnsi="Arial Narrow" w:cs="Arial Narrow"/>
          <w:b/>
        </w:rPr>
      </w:pPr>
    </w:p>
    <w:p w:rsidR="00FC7BAA" w:rsidRDefault="0013018E">
      <w:pPr>
        <w:jc w:val="both"/>
        <w:rPr>
          <w:rFonts w:ascii="Arial Narrow" w:eastAsia="Arial Narrow" w:hAnsi="Arial Narrow" w:cs="Arial Narrow"/>
        </w:rPr>
      </w:pPr>
      <w:r>
        <w:rPr>
          <w:rFonts w:ascii="Arial Narrow" w:eastAsia="Arial Narrow" w:hAnsi="Arial Narrow" w:cs="Arial Narrow"/>
        </w:rPr>
        <w:t>De conformidad con el encargo conferido por la Honorable Mesa Directiva de la Comisión Primera Constitucional de la Cámara de Representantes del Congreso de la República y en consonancia con lo prescrito en el artículo 156 de la L</w:t>
      </w:r>
      <w:r>
        <w:rPr>
          <w:rFonts w:ascii="Arial Narrow" w:eastAsia="Arial Narrow" w:hAnsi="Arial Narrow" w:cs="Arial Narrow"/>
        </w:rPr>
        <w:t xml:space="preserve">ey 5ª de 1992, nos permitimos presentar Informe de Ponencia para primer debate </w:t>
      </w:r>
      <w:r>
        <w:rPr>
          <w:rFonts w:ascii="Arial Narrow" w:eastAsia="Arial Narrow" w:hAnsi="Arial Narrow" w:cs="Arial Narrow"/>
          <w:b/>
          <w:u w:val="single"/>
        </w:rPr>
        <w:t>del Acto Legislativo N° 202 de 2024</w:t>
      </w:r>
      <w:r>
        <w:rPr>
          <w:rFonts w:ascii="Arial Narrow" w:eastAsia="Arial Narrow" w:hAnsi="Arial Narrow" w:cs="Arial Narrow"/>
        </w:rPr>
        <w:t xml:space="preserve"> Cámara, “</w:t>
      </w:r>
      <w:r>
        <w:rPr>
          <w:rFonts w:ascii="Arial Narrow" w:eastAsia="Arial Narrow" w:hAnsi="Arial Narrow" w:cs="Arial Narrow"/>
          <w:i/>
        </w:rPr>
        <w:t>Por medio del cual se armoniza la Constitución Política en materia de derechos políticos con respecto dispuesto en la convención ame</w:t>
      </w:r>
      <w:r>
        <w:rPr>
          <w:rFonts w:ascii="Arial Narrow" w:eastAsia="Arial Narrow" w:hAnsi="Arial Narrow" w:cs="Arial Narrow"/>
          <w:i/>
        </w:rPr>
        <w:t xml:space="preserve">ricana sobre derechos humanos” </w:t>
      </w:r>
      <w:r>
        <w:rPr>
          <w:rFonts w:ascii="Arial Narrow" w:eastAsia="Arial Narrow" w:hAnsi="Arial Narrow" w:cs="Arial Narrow"/>
        </w:rPr>
        <w:t xml:space="preserve">con base en las siguientes consideraciones: </w:t>
      </w:r>
    </w:p>
    <w:tbl>
      <w:tblPr>
        <w:tblStyle w:val="a"/>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6804"/>
      </w:tblGrid>
      <w:tr w:rsidR="00FC7BAA">
        <w:tc>
          <w:tcPr>
            <w:tcW w:w="1985" w:type="dxa"/>
          </w:tcPr>
          <w:p w:rsidR="00FC7BAA" w:rsidRDefault="0013018E">
            <w:pPr>
              <w:widowControl w:val="0"/>
              <w:spacing w:after="0" w:line="240" w:lineRule="auto"/>
              <w:ind w:left="10" w:right="3" w:firstLine="10"/>
              <w:jc w:val="both"/>
              <w:rPr>
                <w:rFonts w:ascii="Arial Narrow" w:eastAsia="Arial Narrow" w:hAnsi="Arial Narrow" w:cs="Arial Narrow"/>
                <w:b/>
                <w:sz w:val="20"/>
                <w:szCs w:val="20"/>
              </w:rPr>
            </w:pPr>
            <w:r>
              <w:rPr>
                <w:rFonts w:ascii="Arial Narrow" w:eastAsia="Arial Narrow" w:hAnsi="Arial Narrow" w:cs="Arial Narrow"/>
                <w:b/>
                <w:sz w:val="20"/>
                <w:szCs w:val="20"/>
              </w:rPr>
              <w:t>Número del Acto Legislativo</w:t>
            </w:r>
          </w:p>
        </w:tc>
        <w:tc>
          <w:tcPr>
            <w:tcW w:w="6804" w:type="dxa"/>
            <w:vAlign w:val="center"/>
          </w:tcPr>
          <w:p w:rsidR="00FC7BAA" w:rsidRDefault="0013018E">
            <w:pPr>
              <w:widowControl w:val="0"/>
              <w:spacing w:after="0" w:line="240" w:lineRule="auto"/>
              <w:ind w:left="10" w:right="3" w:firstLine="10"/>
              <w:jc w:val="center"/>
              <w:rPr>
                <w:rFonts w:ascii="Arial Narrow" w:eastAsia="Arial Narrow" w:hAnsi="Arial Narrow" w:cs="Arial Narrow"/>
                <w:b/>
                <w:sz w:val="20"/>
                <w:szCs w:val="20"/>
              </w:rPr>
            </w:pPr>
            <w:r>
              <w:rPr>
                <w:rFonts w:ascii="Arial Narrow" w:eastAsia="Arial Narrow" w:hAnsi="Arial Narrow" w:cs="Arial Narrow"/>
                <w:b/>
                <w:sz w:val="20"/>
                <w:szCs w:val="20"/>
              </w:rPr>
              <w:t>202 de 2024 Cámara</w:t>
            </w:r>
          </w:p>
        </w:tc>
      </w:tr>
      <w:tr w:rsidR="00FC7BAA">
        <w:tc>
          <w:tcPr>
            <w:tcW w:w="1985" w:type="dxa"/>
          </w:tcPr>
          <w:p w:rsidR="00FC7BAA" w:rsidRDefault="0013018E">
            <w:pPr>
              <w:widowControl w:val="0"/>
              <w:spacing w:after="0" w:line="240" w:lineRule="auto"/>
              <w:ind w:left="10" w:right="3" w:firstLine="10"/>
              <w:jc w:val="both"/>
              <w:rPr>
                <w:rFonts w:ascii="Arial Narrow" w:eastAsia="Arial Narrow" w:hAnsi="Arial Narrow" w:cs="Arial Narrow"/>
                <w:b/>
                <w:sz w:val="20"/>
                <w:szCs w:val="20"/>
              </w:rPr>
            </w:pPr>
            <w:r>
              <w:rPr>
                <w:rFonts w:ascii="Arial Narrow" w:eastAsia="Arial Narrow" w:hAnsi="Arial Narrow" w:cs="Arial Narrow"/>
                <w:b/>
                <w:sz w:val="20"/>
                <w:szCs w:val="20"/>
              </w:rPr>
              <w:t>Título</w:t>
            </w:r>
          </w:p>
        </w:tc>
        <w:tc>
          <w:tcPr>
            <w:tcW w:w="6804" w:type="dxa"/>
          </w:tcPr>
          <w:p w:rsidR="00FC7BAA" w:rsidRDefault="0013018E">
            <w:pPr>
              <w:widowControl w:val="0"/>
              <w:spacing w:after="0" w:line="240" w:lineRule="auto"/>
              <w:ind w:left="10" w:right="3" w:firstLine="10"/>
              <w:jc w:val="both"/>
              <w:rPr>
                <w:rFonts w:ascii="Arial Narrow" w:eastAsia="Arial Narrow" w:hAnsi="Arial Narrow" w:cs="Arial Narrow"/>
                <w:sz w:val="20"/>
                <w:szCs w:val="20"/>
              </w:rPr>
            </w:pPr>
            <w:r>
              <w:rPr>
                <w:rFonts w:ascii="Arial Narrow" w:eastAsia="Arial Narrow" w:hAnsi="Arial Narrow" w:cs="Arial Narrow"/>
                <w:i/>
                <w:sz w:val="20"/>
                <w:szCs w:val="20"/>
              </w:rPr>
              <w:t>Por medio del cual se armoniza la Constitución Política en materia de derechos políticos con respecto dispuesto en la convención americana sobre derechos humanos</w:t>
            </w:r>
          </w:p>
        </w:tc>
      </w:tr>
      <w:tr w:rsidR="00FC7BAA">
        <w:tc>
          <w:tcPr>
            <w:tcW w:w="1985" w:type="dxa"/>
          </w:tcPr>
          <w:p w:rsidR="00FC7BAA" w:rsidRDefault="00FC7BAA">
            <w:pPr>
              <w:widowControl w:val="0"/>
              <w:spacing w:after="0" w:line="240" w:lineRule="auto"/>
              <w:ind w:left="10" w:right="3" w:firstLine="10"/>
              <w:jc w:val="both"/>
              <w:rPr>
                <w:rFonts w:ascii="Arial Narrow" w:eastAsia="Arial Narrow" w:hAnsi="Arial Narrow" w:cs="Arial Narrow"/>
                <w:b/>
                <w:sz w:val="20"/>
                <w:szCs w:val="20"/>
              </w:rPr>
            </w:pPr>
          </w:p>
          <w:p w:rsidR="00FC7BAA" w:rsidRDefault="0013018E">
            <w:pPr>
              <w:widowControl w:val="0"/>
              <w:spacing w:after="0" w:line="240" w:lineRule="auto"/>
              <w:ind w:left="10" w:right="3" w:firstLine="10"/>
              <w:jc w:val="both"/>
              <w:rPr>
                <w:rFonts w:ascii="Arial Narrow" w:eastAsia="Arial Narrow" w:hAnsi="Arial Narrow" w:cs="Arial Narrow"/>
                <w:b/>
                <w:sz w:val="20"/>
                <w:szCs w:val="20"/>
              </w:rPr>
            </w:pPr>
            <w:r>
              <w:rPr>
                <w:rFonts w:ascii="Arial Narrow" w:eastAsia="Arial Narrow" w:hAnsi="Arial Narrow" w:cs="Arial Narrow"/>
                <w:b/>
                <w:sz w:val="20"/>
                <w:szCs w:val="20"/>
              </w:rPr>
              <w:t>Autores</w:t>
            </w:r>
          </w:p>
        </w:tc>
        <w:tc>
          <w:tcPr>
            <w:tcW w:w="6804" w:type="dxa"/>
          </w:tcPr>
          <w:p w:rsidR="00FC7BAA" w:rsidRDefault="0013018E">
            <w:pPr>
              <w:widowControl w:val="0"/>
              <w:spacing w:after="0" w:line="240" w:lineRule="auto"/>
              <w:ind w:left="10" w:right="3" w:firstLine="10"/>
              <w:jc w:val="both"/>
              <w:rPr>
                <w:rFonts w:ascii="Arial Narrow" w:eastAsia="Arial Narrow" w:hAnsi="Arial Narrow" w:cs="Arial Narrow"/>
                <w:sz w:val="20"/>
                <w:szCs w:val="20"/>
              </w:rPr>
            </w:pPr>
            <w:r>
              <w:rPr>
                <w:rFonts w:ascii="Arial Narrow" w:eastAsia="Arial Narrow" w:hAnsi="Arial Narrow" w:cs="Arial Narrow"/>
                <w:sz w:val="20"/>
                <w:szCs w:val="20"/>
              </w:rPr>
              <w:t>H.R. Pedro José Súarez Vacca , H.R. Gabriel Becerra Yañez , H.R. Heraclito Landinez Suárez , H.R. Gildardo Silva Molina , H.R. Eduard Giovanny Sarmiento Hidalgo , H.R. Alirio Uribe Muñoz , H.R.Jorge Alejandro Ocampo Giraldo , H.R. Karyme Adrana Cotes Martí</w:t>
            </w:r>
            <w:r>
              <w:rPr>
                <w:rFonts w:ascii="Arial Narrow" w:eastAsia="Arial Narrow" w:hAnsi="Arial Narrow" w:cs="Arial Narrow"/>
                <w:sz w:val="20"/>
                <w:szCs w:val="20"/>
              </w:rPr>
              <w:t>nez , H.R. James Hermenegildo Mosquera Torres , H.R.Jorge Eliécer Tamayo Marulanda , H.R. Luis Alberto Albán Urbano , H.R. Juan Sebastián Gómez Gonzáles , H.R. Erick Adrián Velasco Burbano , H.R. David Ricardo Racero Mayorca</w:t>
            </w:r>
          </w:p>
        </w:tc>
      </w:tr>
      <w:tr w:rsidR="00FC7BAA">
        <w:tc>
          <w:tcPr>
            <w:tcW w:w="1985" w:type="dxa"/>
          </w:tcPr>
          <w:p w:rsidR="00FC7BAA" w:rsidRDefault="0013018E">
            <w:pPr>
              <w:widowControl w:val="0"/>
              <w:spacing w:after="0" w:line="240" w:lineRule="auto"/>
              <w:ind w:right="3"/>
              <w:jc w:val="both"/>
              <w:rPr>
                <w:rFonts w:ascii="Arial Narrow" w:eastAsia="Arial Narrow" w:hAnsi="Arial Narrow" w:cs="Arial Narrow"/>
                <w:b/>
                <w:sz w:val="20"/>
                <w:szCs w:val="20"/>
              </w:rPr>
            </w:pPr>
            <w:r>
              <w:rPr>
                <w:rFonts w:ascii="Arial Narrow" w:eastAsia="Arial Narrow" w:hAnsi="Arial Narrow" w:cs="Arial Narrow"/>
                <w:b/>
                <w:sz w:val="20"/>
                <w:szCs w:val="20"/>
              </w:rPr>
              <w:t>Ponentes</w:t>
            </w:r>
          </w:p>
        </w:tc>
        <w:tc>
          <w:tcPr>
            <w:tcW w:w="6804" w:type="dxa"/>
          </w:tcPr>
          <w:p w:rsidR="00FC7BAA" w:rsidRDefault="0013018E">
            <w:pPr>
              <w:widowControl w:val="0"/>
              <w:spacing w:after="0" w:line="240" w:lineRule="auto"/>
              <w:ind w:left="10" w:right="3" w:firstLine="10"/>
              <w:jc w:val="both"/>
              <w:rPr>
                <w:rFonts w:ascii="Arial Narrow" w:eastAsia="Arial Narrow" w:hAnsi="Arial Narrow" w:cs="Arial Narrow"/>
                <w:sz w:val="20"/>
                <w:szCs w:val="20"/>
              </w:rPr>
            </w:pPr>
            <w:r>
              <w:rPr>
                <w:rFonts w:ascii="Arial Narrow" w:eastAsia="Arial Narrow" w:hAnsi="Arial Narrow" w:cs="Arial Narrow"/>
                <w:sz w:val="20"/>
                <w:szCs w:val="20"/>
              </w:rPr>
              <w:t>H.R. Pedro José Suarez Vacca -C-, H.R. Álvaro Leonel Rueda Caballero –C-</w:t>
            </w:r>
          </w:p>
          <w:p w:rsidR="00FC7BAA" w:rsidRDefault="0013018E">
            <w:pPr>
              <w:widowControl w:val="0"/>
              <w:spacing w:after="0" w:line="240" w:lineRule="auto"/>
              <w:ind w:left="10" w:right="3" w:firstLine="10"/>
              <w:jc w:val="both"/>
              <w:rPr>
                <w:rFonts w:ascii="Arial Narrow" w:eastAsia="Arial Narrow" w:hAnsi="Arial Narrow" w:cs="Arial Narrow"/>
                <w:sz w:val="20"/>
                <w:szCs w:val="20"/>
              </w:rPr>
            </w:pPr>
            <w:r>
              <w:rPr>
                <w:rFonts w:ascii="Arial Narrow" w:eastAsia="Arial Narrow" w:hAnsi="Arial Narrow" w:cs="Arial Narrow"/>
                <w:sz w:val="20"/>
                <w:szCs w:val="20"/>
              </w:rPr>
              <w:t>PONENTES: HR. Ruth Amelia Caicedo Rosero, HR. Juan Sebastian Gomez Gonzales, HR. Oscar Rodrigo Campo Hurtado, HR. Astrid Sanchez Montes de Oca, HR. Hernan Dario Cadavid Marquez, HR. O</w:t>
            </w:r>
            <w:r>
              <w:rPr>
                <w:rFonts w:ascii="Arial Narrow" w:eastAsia="Arial Narrow" w:hAnsi="Arial Narrow" w:cs="Arial Narrow"/>
                <w:sz w:val="20"/>
                <w:szCs w:val="20"/>
              </w:rPr>
              <w:t>rlando Castillo Advincula, HR. Luis Alberto Alban Urbano y HR. Marelen Castillo Torres.</w:t>
            </w:r>
          </w:p>
          <w:p w:rsidR="00FC7BAA" w:rsidRDefault="00FC7BAA">
            <w:pPr>
              <w:widowControl w:val="0"/>
              <w:spacing w:after="0" w:line="240" w:lineRule="auto"/>
              <w:ind w:left="10" w:right="3" w:firstLine="10"/>
              <w:jc w:val="both"/>
              <w:rPr>
                <w:rFonts w:ascii="Arial Narrow" w:eastAsia="Arial Narrow" w:hAnsi="Arial Narrow" w:cs="Arial Narrow"/>
                <w:sz w:val="20"/>
                <w:szCs w:val="20"/>
              </w:rPr>
            </w:pPr>
          </w:p>
        </w:tc>
      </w:tr>
      <w:tr w:rsidR="00FC7BAA">
        <w:trPr>
          <w:trHeight w:val="190"/>
        </w:trPr>
        <w:tc>
          <w:tcPr>
            <w:tcW w:w="1985" w:type="dxa"/>
          </w:tcPr>
          <w:p w:rsidR="00FC7BAA" w:rsidRDefault="0013018E">
            <w:pPr>
              <w:widowControl w:val="0"/>
              <w:spacing w:after="0" w:line="240" w:lineRule="auto"/>
              <w:ind w:left="10" w:right="3" w:firstLine="10"/>
              <w:jc w:val="both"/>
              <w:rPr>
                <w:rFonts w:ascii="Arial" w:eastAsia="Arial" w:hAnsi="Arial" w:cs="Arial"/>
                <w:b/>
                <w:sz w:val="20"/>
                <w:szCs w:val="20"/>
              </w:rPr>
            </w:pPr>
            <w:r>
              <w:rPr>
                <w:rFonts w:ascii="Arial" w:eastAsia="Arial" w:hAnsi="Arial" w:cs="Arial"/>
                <w:b/>
                <w:sz w:val="20"/>
                <w:szCs w:val="20"/>
              </w:rPr>
              <w:t>Ponencia</w:t>
            </w:r>
          </w:p>
        </w:tc>
        <w:tc>
          <w:tcPr>
            <w:tcW w:w="6804" w:type="dxa"/>
          </w:tcPr>
          <w:p w:rsidR="00FC7BAA" w:rsidRDefault="0013018E">
            <w:pPr>
              <w:widowControl w:val="0"/>
              <w:spacing w:after="0" w:line="240" w:lineRule="auto"/>
              <w:ind w:left="10" w:right="3" w:firstLine="10"/>
              <w:jc w:val="both"/>
              <w:rPr>
                <w:rFonts w:ascii="Arial Narrow" w:eastAsia="Arial Narrow" w:hAnsi="Arial Narrow" w:cs="Arial Narrow"/>
                <w:color w:val="FF0000"/>
                <w:sz w:val="20"/>
                <w:szCs w:val="20"/>
              </w:rPr>
            </w:pPr>
            <w:r>
              <w:rPr>
                <w:rFonts w:ascii="Arial Narrow" w:eastAsia="Arial Narrow" w:hAnsi="Arial Narrow" w:cs="Arial Narrow"/>
                <w:sz w:val="20"/>
                <w:szCs w:val="20"/>
              </w:rPr>
              <w:t>Positiva</w:t>
            </w:r>
          </w:p>
        </w:tc>
      </w:tr>
    </w:tbl>
    <w:p w:rsidR="00FC7BAA" w:rsidRDefault="00FC7BAA"/>
    <w:p w:rsidR="00FC7BAA" w:rsidRDefault="00FC7BAA"/>
    <w:p w:rsidR="00FC7BAA" w:rsidRDefault="00FC7BAA"/>
    <w:p w:rsidR="00FC7BAA" w:rsidRDefault="00FC7BAA"/>
    <w:p w:rsidR="00FC7BAA" w:rsidRDefault="00FC7BAA"/>
    <w:p w:rsidR="00FC7BAA" w:rsidRDefault="00FC7BAA"/>
    <w:p w:rsidR="00FC7BAA" w:rsidRDefault="0013018E">
      <w:pPr>
        <w:spacing w:before="240"/>
        <w:jc w:val="center"/>
        <w:rPr>
          <w:rFonts w:ascii="Arial Narrow" w:eastAsia="Arial Narrow" w:hAnsi="Arial Narrow" w:cs="Arial Narrow"/>
          <w:b/>
        </w:rPr>
      </w:pPr>
      <w:r>
        <w:rPr>
          <w:rFonts w:ascii="Arial Narrow" w:eastAsia="Arial Narrow" w:hAnsi="Arial Narrow" w:cs="Arial Narrow"/>
          <w:b/>
        </w:rPr>
        <w:t>INFORME DE PONENCIA PARA PRIMER DEBATE DEL ACTO LEGISLATIVO N° 202 DE 2024 CÁMARA “POR MEDIO DEL CUAL SE ARMONIZA LA CONSTITUCIÓN POLÍTICA EN MATERIA DE DERECHOS POLÍTICOS CON RESPECTO DISPUESTO EN LA CONVENCIÓN AMERICANA SOBRE DERECHOS HUMANOS”</w:t>
      </w:r>
    </w:p>
    <w:p w:rsidR="00FC7BAA" w:rsidRDefault="00FC7BAA">
      <w:pPr>
        <w:spacing w:before="240"/>
        <w:jc w:val="center"/>
        <w:rPr>
          <w:rFonts w:ascii="Arial Narrow" w:eastAsia="Arial Narrow" w:hAnsi="Arial Narrow" w:cs="Arial Narrow"/>
          <w:b/>
        </w:rPr>
      </w:pPr>
    </w:p>
    <w:p w:rsidR="00FC7BAA" w:rsidRDefault="0013018E">
      <w:pPr>
        <w:pBdr>
          <w:top w:val="nil"/>
          <w:left w:val="nil"/>
          <w:bottom w:val="nil"/>
          <w:right w:val="nil"/>
          <w:between w:val="nil"/>
        </w:pBdr>
        <w:shd w:val="clear" w:color="auto" w:fill="FFFFFF"/>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 xml:space="preserve">TABLA DE </w:t>
      </w:r>
      <w:r>
        <w:rPr>
          <w:rFonts w:ascii="Arial Narrow" w:eastAsia="Arial Narrow" w:hAnsi="Arial Narrow" w:cs="Arial Narrow"/>
          <w:b/>
          <w:color w:val="000000"/>
        </w:rPr>
        <w:t>CONTENIDO</w:t>
      </w:r>
    </w:p>
    <w:p w:rsidR="00FC7BAA" w:rsidRDefault="00FC7BAA">
      <w:pPr>
        <w:pBdr>
          <w:top w:val="nil"/>
          <w:left w:val="nil"/>
          <w:bottom w:val="nil"/>
          <w:right w:val="nil"/>
          <w:between w:val="nil"/>
        </w:pBdr>
        <w:shd w:val="clear" w:color="auto" w:fill="FFFFFF"/>
        <w:spacing w:after="0" w:line="240" w:lineRule="auto"/>
        <w:ind w:right="49"/>
        <w:rPr>
          <w:rFonts w:ascii="Arial Narrow" w:eastAsia="Arial Narrow" w:hAnsi="Arial Narrow" w:cs="Arial Narrow"/>
          <w:b/>
          <w:color w:val="000000"/>
        </w:rPr>
      </w:pPr>
    </w:p>
    <w:p w:rsidR="00FC7BAA" w:rsidRDefault="00FC7BAA">
      <w:pPr>
        <w:pBdr>
          <w:top w:val="nil"/>
          <w:left w:val="nil"/>
          <w:bottom w:val="nil"/>
          <w:right w:val="nil"/>
          <w:between w:val="nil"/>
        </w:pBdr>
        <w:shd w:val="clear" w:color="auto" w:fill="FFFFFF"/>
        <w:spacing w:after="0" w:line="240" w:lineRule="auto"/>
        <w:ind w:right="49"/>
        <w:rPr>
          <w:rFonts w:ascii="Arial Narrow" w:eastAsia="Arial Narrow" w:hAnsi="Arial Narrow" w:cs="Arial Narrow"/>
          <w:b/>
          <w:color w:val="000000"/>
        </w:rPr>
      </w:pPr>
    </w:p>
    <w:p w:rsidR="00FC7BAA" w:rsidRDefault="0013018E">
      <w:pPr>
        <w:numPr>
          <w:ilvl w:val="0"/>
          <w:numId w:val="2"/>
        </w:numPr>
        <w:pBdr>
          <w:top w:val="nil"/>
          <w:left w:val="nil"/>
          <w:bottom w:val="nil"/>
          <w:right w:val="nil"/>
          <w:between w:val="nil"/>
        </w:pBdr>
        <w:shd w:val="clear" w:color="auto" w:fill="FFFFFF"/>
        <w:spacing w:after="0" w:line="240" w:lineRule="auto"/>
        <w:ind w:right="51"/>
        <w:jc w:val="both"/>
        <w:rPr>
          <w:rFonts w:ascii="Arial Narrow" w:eastAsia="Arial Narrow" w:hAnsi="Arial Narrow" w:cs="Arial Narrow"/>
          <w:color w:val="000000"/>
        </w:rPr>
      </w:pPr>
      <w:r>
        <w:rPr>
          <w:rFonts w:ascii="Arial Narrow" w:eastAsia="Arial Narrow" w:hAnsi="Arial Narrow" w:cs="Arial Narrow"/>
          <w:color w:val="000000"/>
        </w:rPr>
        <w:t>ANTECEDENTES</w:t>
      </w:r>
    </w:p>
    <w:p w:rsidR="00FC7BAA" w:rsidRDefault="0013018E">
      <w:pPr>
        <w:numPr>
          <w:ilvl w:val="0"/>
          <w:numId w:val="2"/>
        </w:numPr>
        <w:pBdr>
          <w:top w:val="nil"/>
          <w:left w:val="nil"/>
          <w:bottom w:val="nil"/>
          <w:right w:val="nil"/>
          <w:between w:val="nil"/>
        </w:pBdr>
        <w:shd w:val="clear" w:color="auto" w:fill="FFFFFF"/>
        <w:spacing w:after="0" w:line="240" w:lineRule="auto"/>
        <w:ind w:right="51"/>
        <w:jc w:val="both"/>
        <w:rPr>
          <w:rFonts w:ascii="Arial Narrow" w:eastAsia="Arial Narrow" w:hAnsi="Arial Narrow" w:cs="Arial Narrow"/>
          <w:color w:val="000000"/>
        </w:rPr>
      </w:pPr>
      <w:r>
        <w:rPr>
          <w:rFonts w:ascii="Arial Narrow" w:eastAsia="Arial Narrow" w:hAnsi="Arial Narrow" w:cs="Arial Narrow"/>
          <w:color w:val="000000"/>
        </w:rPr>
        <w:t>OBJETO DEL ACTO LEGISLATIVO 202 DE 2024</w:t>
      </w:r>
    </w:p>
    <w:p w:rsidR="00FC7BAA" w:rsidRDefault="0013018E">
      <w:pPr>
        <w:numPr>
          <w:ilvl w:val="0"/>
          <w:numId w:val="2"/>
        </w:numPr>
        <w:pBdr>
          <w:top w:val="nil"/>
          <w:left w:val="nil"/>
          <w:bottom w:val="nil"/>
          <w:right w:val="nil"/>
          <w:between w:val="nil"/>
        </w:pBdr>
        <w:shd w:val="clear" w:color="auto" w:fill="FFFFFF"/>
        <w:spacing w:after="0" w:line="240" w:lineRule="auto"/>
        <w:ind w:right="51"/>
        <w:jc w:val="both"/>
        <w:rPr>
          <w:rFonts w:ascii="Arial Narrow" w:eastAsia="Arial Narrow" w:hAnsi="Arial Narrow" w:cs="Arial Narrow"/>
          <w:color w:val="000000"/>
        </w:rPr>
      </w:pPr>
      <w:r>
        <w:rPr>
          <w:rFonts w:ascii="Arial Narrow" w:eastAsia="Arial Narrow" w:hAnsi="Arial Narrow" w:cs="Arial Narrow"/>
          <w:color w:val="000000"/>
        </w:rPr>
        <w:t>CONSIDERACIONES GENERALES</w:t>
      </w:r>
    </w:p>
    <w:p w:rsidR="00FC7BAA" w:rsidRDefault="0013018E">
      <w:pPr>
        <w:numPr>
          <w:ilvl w:val="0"/>
          <w:numId w:val="2"/>
        </w:numPr>
        <w:pBdr>
          <w:top w:val="nil"/>
          <w:left w:val="nil"/>
          <w:bottom w:val="nil"/>
          <w:right w:val="nil"/>
          <w:between w:val="nil"/>
        </w:pBdr>
        <w:shd w:val="clear" w:color="auto" w:fill="FFFFFF"/>
        <w:spacing w:after="0" w:line="240" w:lineRule="auto"/>
        <w:ind w:right="51"/>
        <w:jc w:val="both"/>
        <w:rPr>
          <w:rFonts w:ascii="Arial Narrow" w:eastAsia="Arial Narrow" w:hAnsi="Arial Narrow" w:cs="Arial Narrow"/>
          <w:color w:val="000000"/>
        </w:rPr>
      </w:pPr>
      <w:r>
        <w:rPr>
          <w:rFonts w:ascii="Arial Narrow" w:eastAsia="Arial Narrow" w:hAnsi="Arial Narrow" w:cs="Arial Narrow"/>
          <w:color w:val="000000"/>
        </w:rPr>
        <w:t>ALCANCE DE LA SENTENCIA DE LA CORTE INTERAMERICANA DE DERECHOS HUMANOS</w:t>
      </w:r>
    </w:p>
    <w:p w:rsidR="00FC7BAA" w:rsidRDefault="0013018E">
      <w:pPr>
        <w:numPr>
          <w:ilvl w:val="0"/>
          <w:numId w:val="2"/>
        </w:numPr>
        <w:pBdr>
          <w:top w:val="nil"/>
          <w:left w:val="nil"/>
          <w:bottom w:val="nil"/>
          <w:right w:val="nil"/>
          <w:between w:val="nil"/>
        </w:pBdr>
        <w:shd w:val="clear" w:color="auto" w:fill="FFFFFF"/>
        <w:spacing w:after="0" w:line="240" w:lineRule="auto"/>
        <w:ind w:right="51"/>
        <w:jc w:val="both"/>
        <w:rPr>
          <w:rFonts w:ascii="Arial Narrow" w:eastAsia="Arial Narrow" w:hAnsi="Arial Narrow" w:cs="Arial Narrow"/>
          <w:color w:val="000000"/>
        </w:rPr>
      </w:pPr>
      <w:r>
        <w:rPr>
          <w:rFonts w:ascii="Arial Narrow" w:eastAsia="Arial Narrow" w:hAnsi="Arial Narrow" w:cs="Arial Narrow"/>
          <w:color w:val="000000"/>
        </w:rPr>
        <w:t>JURISPRUDENCIA A LA LUZ DEL CASO PETRO URREGO VS COLOMBIA.</w:t>
      </w:r>
    </w:p>
    <w:p w:rsidR="00FC7BAA" w:rsidRDefault="0013018E">
      <w:pPr>
        <w:numPr>
          <w:ilvl w:val="0"/>
          <w:numId w:val="2"/>
        </w:numPr>
        <w:pBdr>
          <w:top w:val="nil"/>
          <w:left w:val="nil"/>
          <w:bottom w:val="nil"/>
          <w:right w:val="nil"/>
          <w:between w:val="nil"/>
        </w:pBdr>
        <w:shd w:val="clear" w:color="auto" w:fill="FFFFFF"/>
        <w:spacing w:after="0" w:line="240" w:lineRule="auto"/>
        <w:ind w:right="51"/>
        <w:jc w:val="both"/>
        <w:rPr>
          <w:rFonts w:ascii="Arial Narrow" w:eastAsia="Arial Narrow" w:hAnsi="Arial Narrow" w:cs="Arial Narrow"/>
          <w:color w:val="000000"/>
        </w:rPr>
      </w:pPr>
      <w:r>
        <w:rPr>
          <w:rFonts w:ascii="Arial Narrow" w:eastAsia="Arial Narrow" w:hAnsi="Arial Narrow" w:cs="Arial Narrow"/>
          <w:color w:val="000000"/>
        </w:rPr>
        <w:t>CONSIDERACIONES FINALES</w:t>
      </w:r>
    </w:p>
    <w:p w:rsidR="00FC7BAA" w:rsidRDefault="0013018E">
      <w:pPr>
        <w:numPr>
          <w:ilvl w:val="0"/>
          <w:numId w:val="2"/>
        </w:numPr>
        <w:pBdr>
          <w:top w:val="nil"/>
          <w:left w:val="nil"/>
          <w:bottom w:val="nil"/>
          <w:right w:val="nil"/>
          <w:between w:val="nil"/>
        </w:pBdr>
        <w:shd w:val="clear" w:color="auto" w:fill="FFFFFF"/>
        <w:spacing w:after="0" w:line="240" w:lineRule="auto"/>
        <w:ind w:right="51"/>
        <w:jc w:val="both"/>
        <w:rPr>
          <w:rFonts w:ascii="Arial Narrow" w:eastAsia="Arial Narrow" w:hAnsi="Arial Narrow" w:cs="Arial Narrow"/>
          <w:color w:val="000000"/>
        </w:rPr>
      </w:pPr>
      <w:r>
        <w:rPr>
          <w:rFonts w:ascii="Arial Narrow" w:eastAsia="Arial Narrow" w:hAnsi="Arial Narrow" w:cs="Arial Narrow"/>
        </w:rPr>
        <w:t>CONFLICTO</w:t>
      </w:r>
      <w:r>
        <w:rPr>
          <w:rFonts w:ascii="Arial Narrow" w:eastAsia="Arial Narrow" w:hAnsi="Arial Narrow" w:cs="Arial Narrow"/>
          <w:color w:val="000000"/>
        </w:rPr>
        <w:t xml:space="preserve"> DE INTERESES</w:t>
      </w:r>
    </w:p>
    <w:p w:rsidR="00FC7BAA" w:rsidRDefault="0013018E">
      <w:pPr>
        <w:numPr>
          <w:ilvl w:val="0"/>
          <w:numId w:val="2"/>
        </w:numPr>
        <w:pBdr>
          <w:top w:val="nil"/>
          <w:left w:val="nil"/>
          <w:bottom w:val="nil"/>
          <w:right w:val="nil"/>
          <w:between w:val="nil"/>
        </w:pBdr>
        <w:shd w:val="clear" w:color="auto" w:fill="FFFFFF"/>
        <w:spacing w:after="0" w:line="240" w:lineRule="auto"/>
        <w:ind w:right="51"/>
        <w:jc w:val="both"/>
        <w:rPr>
          <w:rFonts w:ascii="Arial Narrow" w:eastAsia="Arial Narrow" w:hAnsi="Arial Narrow" w:cs="Arial Narrow"/>
          <w:color w:val="000000"/>
        </w:rPr>
      </w:pPr>
      <w:r>
        <w:rPr>
          <w:rFonts w:ascii="Arial Narrow" w:eastAsia="Arial Narrow" w:hAnsi="Arial Narrow" w:cs="Arial Narrow"/>
          <w:color w:val="000000"/>
        </w:rPr>
        <w:t xml:space="preserve">PLIEGO DE </w:t>
      </w:r>
      <w:r>
        <w:rPr>
          <w:rFonts w:ascii="Arial Narrow" w:eastAsia="Arial Narrow" w:hAnsi="Arial Narrow" w:cs="Arial Narrow"/>
        </w:rPr>
        <w:t>MODIFICACIONES</w:t>
      </w:r>
    </w:p>
    <w:p w:rsidR="00FC7BAA" w:rsidRDefault="0013018E">
      <w:pPr>
        <w:numPr>
          <w:ilvl w:val="0"/>
          <w:numId w:val="2"/>
        </w:numPr>
        <w:pBdr>
          <w:top w:val="nil"/>
          <w:left w:val="nil"/>
          <w:bottom w:val="nil"/>
          <w:right w:val="nil"/>
          <w:between w:val="nil"/>
        </w:pBdr>
        <w:shd w:val="clear" w:color="auto" w:fill="FFFFFF"/>
        <w:spacing w:after="0" w:line="240" w:lineRule="auto"/>
        <w:ind w:right="51"/>
        <w:jc w:val="both"/>
        <w:rPr>
          <w:rFonts w:ascii="Arial Narrow" w:eastAsia="Arial Narrow" w:hAnsi="Arial Narrow" w:cs="Arial Narrow"/>
        </w:rPr>
      </w:pPr>
      <w:r>
        <w:rPr>
          <w:rFonts w:ascii="Arial Narrow" w:eastAsia="Arial Narrow" w:hAnsi="Arial Narrow" w:cs="Arial Narrow"/>
        </w:rPr>
        <w:t>PROPOSICIÓN</w:t>
      </w:r>
    </w:p>
    <w:p w:rsidR="00FC7BAA" w:rsidRDefault="00FC7BAA">
      <w:pPr>
        <w:pBdr>
          <w:top w:val="nil"/>
          <w:left w:val="nil"/>
          <w:bottom w:val="nil"/>
          <w:right w:val="nil"/>
          <w:between w:val="nil"/>
        </w:pBdr>
        <w:shd w:val="clear" w:color="auto" w:fill="FFFFFF"/>
        <w:spacing w:after="0" w:line="240" w:lineRule="auto"/>
        <w:ind w:right="51"/>
        <w:jc w:val="both"/>
        <w:rPr>
          <w:color w:val="000000"/>
        </w:rPr>
      </w:pPr>
    </w:p>
    <w:p w:rsidR="00FC7BAA" w:rsidRDefault="00FC7BAA">
      <w:pPr>
        <w:pBdr>
          <w:top w:val="nil"/>
          <w:left w:val="nil"/>
          <w:bottom w:val="nil"/>
          <w:right w:val="nil"/>
          <w:between w:val="nil"/>
        </w:pBdr>
        <w:shd w:val="clear" w:color="auto" w:fill="FFFFFF"/>
        <w:spacing w:after="0" w:line="240" w:lineRule="auto"/>
        <w:ind w:right="51"/>
        <w:jc w:val="both"/>
        <w:rPr>
          <w:b/>
          <w:color w:val="000000"/>
        </w:rPr>
      </w:pPr>
    </w:p>
    <w:p w:rsidR="00FC7BAA" w:rsidRDefault="0013018E">
      <w:pPr>
        <w:numPr>
          <w:ilvl w:val="0"/>
          <w:numId w:val="3"/>
        </w:numPr>
        <w:pBdr>
          <w:top w:val="nil"/>
          <w:left w:val="nil"/>
          <w:bottom w:val="nil"/>
          <w:right w:val="nil"/>
          <w:between w:val="nil"/>
        </w:pBdr>
        <w:shd w:val="clear" w:color="auto" w:fill="FFFFFF"/>
        <w:spacing w:after="0" w:line="240" w:lineRule="auto"/>
        <w:ind w:right="51"/>
        <w:jc w:val="both"/>
        <w:rPr>
          <w:rFonts w:ascii="Arial Narrow" w:eastAsia="Arial Narrow" w:hAnsi="Arial Narrow" w:cs="Arial Narrow"/>
          <w:b/>
          <w:color w:val="000000"/>
        </w:rPr>
      </w:pPr>
      <w:r>
        <w:rPr>
          <w:rFonts w:ascii="Arial Narrow" w:eastAsia="Arial Narrow" w:hAnsi="Arial Narrow" w:cs="Arial Narrow"/>
          <w:b/>
          <w:color w:val="000000"/>
        </w:rPr>
        <w:t>ANTECEDENTES</w:t>
      </w:r>
    </w:p>
    <w:p w:rsidR="00FC7BAA" w:rsidRDefault="00FC7BAA">
      <w:pPr>
        <w:pBdr>
          <w:top w:val="nil"/>
          <w:left w:val="nil"/>
          <w:bottom w:val="nil"/>
          <w:right w:val="nil"/>
          <w:between w:val="nil"/>
        </w:pBdr>
        <w:shd w:val="clear" w:color="auto" w:fill="FFFFFF"/>
        <w:spacing w:after="0" w:line="240" w:lineRule="auto"/>
        <w:ind w:left="1065" w:right="51"/>
        <w:jc w:val="both"/>
        <w:rPr>
          <w:rFonts w:ascii="Arial Narrow" w:eastAsia="Arial Narrow" w:hAnsi="Arial Narrow" w:cs="Arial Narrow"/>
          <w:b/>
          <w:color w:val="000000"/>
        </w:rPr>
      </w:pPr>
    </w:p>
    <w:p w:rsidR="00FC7BAA" w:rsidRDefault="0013018E">
      <w:p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color w:val="000000"/>
        </w:rPr>
        <w:t xml:space="preserve">El 15 de agosto de 2023 fue radicado el Proyecto de Acto Legislativo 131 de 2023 Cámara “Por medio del cual se armoniza la constitución política con lo dispuesto en la Convención Americana sobre Derechos Humanos” por los y las congresistas H.R. Pedro José </w:t>
      </w:r>
      <w:r>
        <w:rPr>
          <w:rFonts w:ascii="Arial Narrow" w:eastAsia="Arial Narrow" w:hAnsi="Arial Narrow" w:cs="Arial Narrow"/>
          <w:color w:val="000000"/>
        </w:rPr>
        <w:t>Súarez Vacca, H.R. Heraclito Landinez Suárez, H.R. Alirio Uribe Muñoz, H.R. David Alejandro Toro Ramírez, H.R. Luis Alberto Albán Urbano, H.R. Erick Adrián Velasco Burbano, H.R. Gabriel Ernesto Parrado Durán, H.R. Jorge Hernán Bastidas Rosero, H.R. Jairo R</w:t>
      </w:r>
      <w:r>
        <w:rPr>
          <w:rFonts w:ascii="Arial Narrow" w:eastAsia="Arial Narrow" w:hAnsi="Arial Narrow" w:cs="Arial Narrow"/>
          <w:color w:val="000000"/>
        </w:rPr>
        <w:t>einaldo Cala Suárez, H.R. Pedro Baracutao García Ospina, H.R. Eduard Giovanny Sarmiento Hidalgo, H.R. Gabriel Becerra Yañez y H.S. Martha Isabel Peralta Epieyu. Este proyecto fue retirado para evaluación en mesas técnicas con expertos. Asimismo, en el 2 de</w:t>
      </w:r>
      <w:r>
        <w:rPr>
          <w:rFonts w:ascii="Arial Narrow" w:eastAsia="Arial Narrow" w:hAnsi="Arial Narrow" w:cs="Arial Narrow"/>
          <w:color w:val="000000"/>
        </w:rPr>
        <w:t xml:space="preserve"> abril de 2024 fue radicada nuevamente la iniciativa como el Proyecto de Acto Legislativo 413 de 2024 Cámara “Por medio del cual se armoniza la constitución política con lo dispuesto en la Convención Americana sobre Derechos Humanos” por las y los congresi</w:t>
      </w:r>
      <w:r>
        <w:rPr>
          <w:rFonts w:ascii="Arial Narrow" w:eastAsia="Arial Narrow" w:hAnsi="Arial Narrow" w:cs="Arial Narrow"/>
          <w:color w:val="000000"/>
        </w:rPr>
        <w:t>stas H.R. Pedro José Súarez Vacca, H.R. Alirio Uribe Muñoz, H.R. Cristóbal Caicedo Angulo, H.R. Héctor David Chaparro Chaparro, H.R. Karyme Adrana Cotes Martínez, H.R. Heraclito Landinez Suárez, H.R. Gabriel Becerra Yañez, H.R. David Ricardo Racero Mayorca</w:t>
      </w:r>
      <w:r>
        <w:rPr>
          <w:rFonts w:ascii="Arial Narrow" w:eastAsia="Arial Narrow" w:hAnsi="Arial Narrow" w:cs="Arial Narrow"/>
          <w:color w:val="000000"/>
        </w:rPr>
        <w:t>, H.R.Jorge Eliécer Tamayo Marulanda, H.R. Juan Manuel Cortés Dueñas, H.R. David Alejandro Toro Ramírez, H.R. Jaime Raúl Salamanca Torres, H.R. Gabriel Ernesto Parrado Durán, H.R. María Fernanda Carrascal Rojas, H.R.Jorge Hernán Bastidas Rosero, H.R. Ermes</w:t>
      </w:r>
      <w:r>
        <w:rPr>
          <w:rFonts w:ascii="Arial Narrow" w:eastAsia="Arial Narrow" w:hAnsi="Arial Narrow" w:cs="Arial Narrow"/>
          <w:color w:val="000000"/>
        </w:rPr>
        <w:t xml:space="preserve"> Evelio Pete Vivas, H.R. Gildardo Silva Molina, H.R. Norman David Bañol Álvarez, H.R. Santiago Osorio Marín, H.R. Luis Alberto Albán Urbano, H.R. Martha Lisbeth Alfonso Jurado, H.R. Jennifer Dalley Pedraza Sandoval, H.R. Alejandro García Ríos y H.R. Juan S</w:t>
      </w:r>
      <w:r>
        <w:rPr>
          <w:rFonts w:ascii="Arial Narrow" w:eastAsia="Arial Narrow" w:hAnsi="Arial Narrow" w:cs="Arial Narrow"/>
          <w:color w:val="000000"/>
        </w:rPr>
        <w:t>ebastián Gómez Gonzáles.</w:t>
      </w:r>
    </w:p>
    <w:p w:rsidR="00FC7BAA" w:rsidRDefault="00FC7BAA">
      <w:pPr>
        <w:pBdr>
          <w:top w:val="nil"/>
          <w:left w:val="nil"/>
          <w:bottom w:val="nil"/>
          <w:right w:val="nil"/>
          <w:between w:val="nil"/>
        </w:pBdr>
        <w:spacing w:after="0"/>
        <w:ind w:left="720"/>
        <w:jc w:val="both"/>
        <w:rPr>
          <w:rFonts w:ascii="Arial Narrow" w:eastAsia="Arial Narrow" w:hAnsi="Arial Narrow" w:cs="Arial Narrow"/>
          <w:color w:val="000000"/>
        </w:rPr>
      </w:pPr>
    </w:p>
    <w:p w:rsidR="00FC7BAA" w:rsidRDefault="00FC7BAA">
      <w:pPr>
        <w:pBdr>
          <w:top w:val="nil"/>
          <w:left w:val="nil"/>
          <w:bottom w:val="nil"/>
          <w:right w:val="nil"/>
          <w:between w:val="nil"/>
        </w:pBdr>
        <w:spacing w:after="0"/>
        <w:ind w:left="720"/>
        <w:jc w:val="both"/>
        <w:rPr>
          <w:rFonts w:ascii="Arial Narrow" w:eastAsia="Arial Narrow" w:hAnsi="Arial Narrow" w:cs="Arial Narrow"/>
        </w:rPr>
      </w:pPr>
    </w:p>
    <w:p w:rsidR="00FC7BAA" w:rsidRDefault="00FC7BAA">
      <w:pPr>
        <w:pBdr>
          <w:top w:val="nil"/>
          <w:left w:val="nil"/>
          <w:bottom w:val="nil"/>
          <w:right w:val="nil"/>
          <w:between w:val="nil"/>
        </w:pBdr>
        <w:spacing w:after="0"/>
        <w:ind w:left="720"/>
        <w:jc w:val="both"/>
        <w:rPr>
          <w:rFonts w:ascii="Arial Narrow" w:eastAsia="Arial Narrow" w:hAnsi="Arial Narrow" w:cs="Arial Narrow"/>
        </w:rPr>
      </w:pPr>
    </w:p>
    <w:p w:rsidR="00FC7BAA" w:rsidRDefault="00FC7BAA">
      <w:pPr>
        <w:pBdr>
          <w:top w:val="nil"/>
          <w:left w:val="nil"/>
          <w:bottom w:val="nil"/>
          <w:right w:val="nil"/>
          <w:between w:val="nil"/>
        </w:pBdr>
        <w:spacing w:after="0"/>
        <w:ind w:left="720"/>
        <w:jc w:val="both"/>
        <w:rPr>
          <w:rFonts w:ascii="Arial Narrow" w:eastAsia="Arial Narrow" w:hAnsi="Arial Narrow" w:cs="Arial Narrow"/>
          <w:color w:val="000000"/>
        </w:rPr>
      </w:pPr>
    </w:p>
    <w:p w:rsidR="00FC7BAA" w:rsidRDefault="00FC7BAA">
      <w:pPr>
        <w:pBdr>
          <w:top w:val="nil"/>
          <w:left w:val="nil"/>
          <w:bottom w:val="nil"/>
          <w:right w:val="nil"/>
          <w:between w:val="nil"/>
        </w:pBdr>
        <w:spacing w:after="0"/>
        <w:ind w:left="720"/>
        <w:jc w:val="both"/>
        <w:rPr>
          <w:rFonts w:ascii="Arial Narrow" w:eastAsia="Arial Narrow" w:hAnsi="Arial Narrow" w:cs="Arial Narrow"/>
          <w:color w:val="000000"/>
        </w:rPr>
      </w:pPr>
    </w:p>
    <w:p w:rsidR="00FC7BAA" w:rsidRDefault="0013018E">
      <w:pPr>
        <w:numPr>
          <w:ilvl w:val="0"/>
          <w:numId w:val="3"/>
        </w:numPr>
        <w:pBdr>
          <w:top w:val="nil"/>
          <w:left w:val="nil"/>
          <w:bottom w:val="nil"/>
          <w:right w:val="nil"/>
          <w:between w:val="nil"/>
        </w:pBdr>
        <w:shd w:val="clear" w:color="auto" w:fill="FFFFFF"/>
        <w:spacing w:after="0" w:line="240" w:lineRule="auto"/>
        <w:ind w:right="51"/>
        <w:jc w:val="both"/>
        <w:rPr>
          <w:rFonts w:ascii="Arial Narrow" w:eastAsia="Arial Narrow" w:hAnsi="Arial Narrow" w:cs="Arial Narrow"/>
          <w:b/>
          <w:color w:val="000000"/>
        </w:rPr>
      </w:pPr>
      <w:r>
        <w:rPr>
          <w:rFonts w:ascii="Arial Narrow" w:eastAsia="Arial Narrow" w:hAnsi="Arial Narrow" w:cs="Arial Narrow"/>
          <w:b/>
          <w:color w:val="000000"/>
        </w:rPr>
        <w:lastRenderedPageBreak/>
        <w:t>OBJETO DEL ACTO LEGISLATIVO 202 DE 2024</w:t>
      </w:r>
    </w:p>
    <w:p w:rsidR="00FC7BAA" w:rsidRDefault="0013018E">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b/>
          <w:color w:val="000000"/>
        </w:rPr>
      </w:pPr>
      <w:r>
        <w:rPr>
          <w:rFonts w:ascii="Arial Narrow" w:eastAsia="Arial Narrow" w:hAnsi="Arial Narrow" w:cs="Arial Narrow"/>
          <w:b/>
          <w:color w:val="000000"/>
        </w:rPr>
        <w:t xml:space="preserve">        </w:t>
      </w:r>
    </w:p>
    <w:p w:rsidR="00FC7BAA" w:rsidRDefault="0013018E">
      <w:pPr>
        <w:pBdr>
          <w:top w:val="nil"/>
          <w:left w:val="nil"/>
          <w:bottom w:val="nil"/>
          <w:right w:val="nil"/>
          <w:between w:val="nil"/>
        </w:pBdr>
        <w:shd w:val="clear" w:color="auto" w:fill="FFFFFF"/>
        <w:spacing w:after="0" w:line="240" w:lineRule="auto"/>
        <w:ind w:left="708" w:right="51"/>
        <w:jc w:val="both"/>
        <w:rPr>
          <w:rFonts w:ascii="Arial Narrow" w:eastAsia="Arial Narrow" w:hAnsi="Arial Narrow" w:cs="Arial Narrow"/>
          <w:color w:val="000000"/>
        </w:rPr>
      </w:pPr>
      <w:r>
        <w:rPr>
          <w:rFonts w:ascii="Arial Narrow" w:eastAsia="Arial Narrow" w:hAnsi="Arial Narrow" w:cs="Arial Narrow"/>
          <w:color w:val="000000"/>
        </w:rPr>
        <w:t>El objeto del presente Acto legislativo pretende modificar el artículo 40 y 277 de la Constitución Política de Colombia con el fin de armonizar la carta política en cuanto a la Convención Interamericana de Derechos Humanos en materia de protección de derec</w:t>
      </w:r>
      <w:r>
        <w:rPr>
          <w:rFonts w:ascii="Arial Narrow" w:eastAsia="Arial Narrow" w:hAnsi="Arial Narrow" w:cs="Arial Narrow"/>
          <w:color w:val="000000"/>
        </w:rPr>
        <w:t>hos políticos de funcionarios públicos electos por voto popular.</w:t>
      </w:r>
    </w:p>
    <w:p w:rsidR="00FC7BAA" w:rsidRDefault="00FC7BAA">
      <w:pPr>
        <w:pBdr>
          <w:top w:val="nil"/>
          <w:left w:val="nil"/>
          <w:bottom w:val="nil"/>
          <w:right w:val="nil"/>
          <w:between w:val="nil"/>
        </w:pBdr>
        <w:shd w:val="clear" w:color="auto" w:fill="FFFFFF"/>
        <w:spacing w:after="0" w:line="240" w:lineRule="auto"/>
        <w:ind w:left="708" w:right="51"/>
        <w:jc w:val="both"/>
        <w:rPr>
          <w:rFonts w:ascii="Arial Narrow" w:eastAsia="Arial Narrow" w:hAnsi="Arial Narrow" w:cs="Arial Narrow"/>
          <w:color w:val="000000"/>
        </w:rPr>
      </w:pPr>
    </w:p>
    <w:p w:rsidR="00FC7BAA" w:rsidRDefault="0013018E">
      <w:pPr>
        <w:numPr>
          <w:ilvl w:val="0"/>
          <w:numId w:val="3"/>
        </w:numPr>
        <w:pBdr>
          <w:top w:val="nil"/>
          <w:left w:val="nil"/>
          <w:bottom w:val="nil"/>
          <w:right w:val="nil"/>
          <w:between w:val="nil"/>
        </w:pBdr>
        <w:shd w:val="clear" w:color="auto" w:fill="FFFFFF"/>
        <w:spacing w:after="0" w:line="240" w:lineRule="auto"/>
        <w:ind w:right="51"/>
        <w:jc w:val="both"/>
        <w:rPr>
          <w:rFonts w:ascii="Arial Narrow" w:eastAsia="Arial Narrow" w:hAnsi="Arial Narrow" w:cs="Arial Narrow"/>
          <w:b/>
          <w:color w:val="000000"/>
        </w:rPr>
      </w:pPr>
      <w:r>
        <w:rPr>
          <w:rFonts w:ascii="Arial Narrow" w:eastAsia="Arial Narrow" w:hAnsi="Arial Narrow" w:cs="Arial Narrow"/>
          <w:b/>
          <w:color w:val="000000"/>
        </w:rPr>
        <w:t>CONSIDERACIONES GENERALES</w:t>
      </w: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b/>
          <w:color w:val="000000"/>
        </w:rPr>
      </w:pPr>
    </w:p>
    <w:p w:rsidR="00FC7BAA" w:rsidRDefault="0013018E">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r>
        <w:rPr>
          <w:rFonts w:ascii="Arial Narrow" w:eastAsia="Arial Narrow" w:hAnsi="Arial Narrow" w:cs="Arial Narrow"/>
          <w:color w:val="000000"/>
        </w:rPr>
        <w:t>El presente Proyecto de Acto Legislativo tiene como objeto armonizar ordenamiento constitucional colombiano con la Convención Americana sobre Derechos Humanos (Pac</w:t>
      </w:r>
      <w:r>
        <w:rPr>
          <w:rFonts w:ascii="Arial Narrow" w:eastAsia="Arial Narrow" w:hAnsi="Arial Narrow" w:cs="Arial Narrow"/>
          <w:color w:val="000000"/>
        </w:rPr>
        <w:t xml:space="preserve">to de San José), dando cumplimiento así lo dispuesto por Corte Interamericana de Derechos Humanos en la Sentencia del 8 de julio de 2020 Caso Petro Urrego vs. Colombia, en el cual se estableció el Estado colombiano no ha dado cumplimiento a lo previsto en </w:t>
      </w:r>
      <w:r>
        <w:rPr>
          <w:rFonts w:ascii="Arial Narrow" w:eastAsia="Arial Narrow" w:hAnsi="Arial Narrow" w:cs="Arial Narrow"/>
          <w:color w:val="000000"/>
        </w:rPr>
        <w:t>el artículo 23 de la CADH en materia de protección de los derechos políticos de los funcionarios de elección popular.</w:t>
      </w: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p>
    <w:p w:rsidR="00FC7BAA" w:rsidRDefault="0013018E">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r>
        <w:rPr>
          <w:rFonts w:ascii="Arial Narrow" w:eastAsia="Arial Narrow" w:hAnsi="Arial Narrow" w:cs="Arial Narrow"/>
          <w:color w:val="000000"/>
        </w:rPr>
        <w:t xml:space="preserve"> La Procuraduría General de la Nación es del Ministerio Público, la cual posee autonomía administrativa, financiera y presupuestal, con el fin de representar a los colombianos ante el Estado. Dentro de sus funciones se encuentran la vigilancia del debido c</w:t>
      </w:r>
      <w:r>
        <w:rPr>
          <w:rFonts w:ascii="Arial Narrow" w:eastAsia="Arial Narrow" w:hAnsi="Arial Narrow" w:cs="Arial Narrow"/>
          <w:color w:val="000000"/>
        </w:rPr>
        <w:t>umplimiento de la Constitución, las leyes, las decisiones judiciales y los actos administrativos, así como la protección y el garantizar la efectividad de los derechos humanos en el país y la vigilancia superior de los servidores públicos, inclusive aquell</w:t>
      </w:r>
      <w:r>
        <w:rPr>
          <w:rFonts w:ascii="Arial Narrow" w:eastAsia="Arial Narrow" w:hAnsi="Arial Narrow" w:cs="Arial Narrow"/>
          <w:color w:val="000000"/>
        </w:rPr>
        <w:t>os electos por elección popular, llevando a cabo investigaciones o sanciones correspondientes según lo que la ley disponga, para consigo evitar prácticas de corrupción en la administración pública.</w:t>
      </w: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p>
    <w:p w:rsidR="00FC7BAA" w:rsidRDefault="0013018E">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r>
        <w:rPr>
          <w:rFonts w:ascii="Arial Narrow" w:eastAsia="Arial Narrow" w:hAnsi="Arial Narrow" w:cs="Arial Narrow"/>
          <w:color w:val="000000"/>
        </w:rPr>
        <w:t xml:space="preserve"> La Procuraduría General de la Nación es considerada una </w:t>
      </w:r>
      <w:r>
        <w:rPr>
          <w:rFonts w:ascii="Arial Narrow" w:eastAsia="Arial Narrow" w:hAnsi="Arial Narrow" w:cs="Arial Narrow"/>
          <w:color w:val="000000"/>
        </w:rPr>
        <w:t>Institución sui generis en el derecho comparado debido a su naturaleza y competencias, entre las que se destacan las disciplinarias de funcionarios públicos. Es sobre este último punto en el cual se encuentran algunas consideraciones que han representado t</w:t>
      </w:r>
      <w:r>
        <w:rPr>
          <w:rFonts w:ascii="Arial Narrow" w:eastAsia="Arial Narrow" w:hAnsi="Arial Narrow" w:cs="Arial Narrow"/>
          <w:color w:val="000000"/>
        </w:rPr>
        <w:t>ensiones con la Convención Americana sobre Derechos Humanos, porque la consideración que ha hecho la Corte IDH y la Corte Constitucional le han dado un tratamiento de autoridad administrativa, más no de naturaleza judicial, por lo cual se han generado repr</w:t>
      </w:r>
      <w:r>
        <w:rPr>
          <w:rFonts w:ascii="Arial Narrow" w:eastAsia="Arial Narrow" w:hAnsi="Arial Narrow" w:cs="Arial Narrow"/>
          <w:color w:val="000000"/>
        </w:rPr>
        <w:t xml:space="preserve">oches sobre su facultad de sancionar a funcionarios de elección popular. </w:t>
      </w: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p>
    <w:p w:rsidR="00FC7BAA" w:rsidRDefault="0013018E">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r>
        <w:rPr>
          <w:rFonts w:ascii="Arial Narrow" w:eastAsia="Arial Narrow" w:hAnsi="Arial Narrow" w:cs="Arial Narrow"/>
          <w:color w:val="000000"/>
        </w:rPr>
        <w:t xml:space="preserve">Esta potestad había sido refrendada por la Corte Constitucional en alguna de sus procedencias. Sin embargo, este parámetro tendría un elemento de ruptura en el 2013 con el caso que </w:t>
      </w:r>
      <w:r>
        <w:rPr>
          <w:rFonts w:ascii="Arial Narrow" w:eastAsia="Arial Narrow" w:hAnsi="Arial Narrow" w:cs="Arial Narrow"/>
          <w:color w:val="000000"/>
        </w:rPr>
        <w:t>se presentó al momento de ser destituido el entonces Alcalde Mayor de Bogotá, el señor Gustavo Petro, por parte del Procurador General. En dicho caso se tendría un parámetro diferenciador y es que ya en el 2011 la Corte IDH se había pronunciado sobre el ca</w:t>
      </w:r>
      <w:r>
        <w:rPr>
          <w:rFonts w:ascii="Arial Narrow" w:eastAsia="Arial Narrow" w:hAnsi="Arial Narrow" w:cs="Arial Narrow"/>
          <w:color w:val="000000"/>
        </w:rPr>
        <w:t>so de Leopoldo López vs. Venezuela, en el cual la Corte determinó en control de convencionalidad que no es posible que una autoridad administrativa pueda restringir derechos políticos de funcionarios de elección popular, tal y como lo indica el artículo 23</w:t>
      </w:r>
      <w:r>
        <w:rPr>
          <w:rFonts w:ascii="Arial Narrow" w:eastAsia="Arial Narrow" w:hAnsi="Arial Narrow" w:cs="Arial Narrow"/>
          <w:color w:val="000000"/>
        </w:rPr>
        <w:t xml:space="preserve">.2 del Pacto de San José. Teniendo el precedente de este caso, la Comisión Interamericana otorgó medidas </w:t>
      </w:r>
      <w:r>
        <w:rPr>
          <w:rFonts w:ascii="Arial Narrow" w:eastAsia="Arial Narrow" w:hAnsi="Arial Narrow" w:cs="Arial Narrow"/>
        </w:rPr>
        <w:t>cautelares</w:t>
      </w:r>
      <w:r>
        <w:rPr>
          <w:rFonts w:ascii="Arial Narrow" w:eastAsia="Arial Narrow" w:hAnsi="Arial Narrow" w:cs="Arial Narrow"/>
          <w:color w:val="000000"/>
        </w:rPr>
        <w:t xml:space="preserve"> al señor Petro Urrego y llevado el caso a la Corte IDH, quien el 2020 determinó que la Procuraduría no podría tener las facultades de restri</w:t>
      </w:r>
      <w:r>
        <w:rPr>
          <w:rFonts w:ascii="Arial Narrow" w:eastAsia="Arial Narrow" w:hAnsi="Arial Narrow" w:cs="Arial Narrow"/>
          <w:color w:val="000000"/>
        </w:rPr>
        <w:t>ngir derechos políticos ya que tiene una naturaleza administrativa y no judicial, lo cual desconoce el parámetro de convencionalidad. Sin embargo, ya previamente el Consejo de Estado en 2017 se había pronunciado en Colombia determinando la nulidad de lo ac</w:t>
      </w:r>
      <w:r>
        <w:rPr>
          <w:rFonts w:ascii="Arial Narrow" w:eastAsia="Arial Narrow" w:hAnsi="Arial Narrow" w:cs="Arial Narrow"/>
          <w:color w:val="000000"/>
        </w:rPr>
        <w:t xml:space="preserve">tuado por el entonces Procurador, al considerar que esto era contrario a la CADH. </w:t>
      </w: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p>
    <w:p w:rsidR="00FC7BAA" w:rsidRDefault="0013018E">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r>
        <w:rPr>
          <w:rFonts w:ascii="Arial Narrow" w:eastAsia="Arial Narrow" w:hAnsi="Arial Narrow" w:cs="Arial Narrow"/>
          <w:color w:val="000000"/>
        </w:rPr>
        <w:t>Es así como, con el ánimo de aún preservar las competencias sancionatorias sobre servidores públicos de elección popular, la Procuradora General de la Nación presenta una i</w:t>
      </w:r>
      <w:r>
        <w:rPr>
          <w:rFonts w:ascii="Arial Narrow" w:eastAsia="Arial Narrow" w:hAnsi="Arial Narrow" w:cs="Arial Narrow"/>
          <w:color w:val="000000"/>
        </w:rPr>
        <w:t>niciativa al Congreso de la República que terminaría siendo la Ley 2094 de 2021, en la cual, acudiendo a la “interpretación evolutiva” del fallo de la Corte IDH, consideró que la forma de subsanar la discordancia entre la CADH y la Constitución sería otorg</w:t>
      </w:r>
      <w:r>
        <w:rPr>
          <w:rFonts w:ascii="Arial Narrow" w:eastAsia="Arial Narrow" w:hAnsi="Arial Narrow" w:cs="Arial Narrow"/>
          <w:color w:val="000000"/>
        </w:rPr>
        <w:t xml:space="preserve">ar funciones jurisdiccionales al Procuraduría General de la Nación. Sin embargo, </w:t>
      </w:r>
      <w:r>
        <w:rPr>
          <w:rFonts w:ascii="Arial Narrow" w:eastAsia="Arial Narrow" w:hAnsi="Arial Narrow" w:cs="Arial Narrow"/>
          <w:color w:val="000000"/>
        </w:rPr>
        <w:lastRenderedPageBreak/>
        <w:t xml:space="preserve">se ha </w:t>
      </w:r>
      <w:r>
        <w:rPr>
          <w:rFonts w:ascii="Arial Narrow" w:eastAsia="Arial Narrow" w:hAnsi="Arial Narrow" w:cs="Arial Narrow"/>
        </w:rPr>
        <w:t>considerado</w:t>
      </w:r>
      <w:r>
        <w:rPr>
          <w:rFonts w:ascii="Arial Narrow" w:eastAsia="Arial Narrow" w:hAnsi="Arial Narrow" w:cs="Arial Narrow"/>
          <w:color w:val="000000"/>
        </w:rPr>
        <w:t xml:space="preserve"> que esta reforma legal contraría lo dispuesto por la Corte IDH ya que no cumple con el requisito establecido por el artículo 23.2 convencional y el mismo cri</w:t>
      </w:r>
      <w:r>
        <w:rPr>
          <w:rFonts w:ascii="Arial Narrow" w:eastAsia="Arial Narrow" w:hAnsi="Arial Narrow" w:cs="Arial Narrow"/>
          <w:color w:val="000000"/>
        </w:rPr>
        <w:t xml:space="preserve">terio de que la interpretación de la CADH debe ser literal en esta materia, razón por la cual es una facultad propia de juez penal mediante sentencia judicial, más no de una autoridad diferente. </w:t>
      </w: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p>
    <w:p w:rsidR="00FC7BAA" w:rsidRDefault="0013018E">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r>
        <w:rPr>
          <w:rFonts w:ascii="Arial Narrow" w:eastAsia="Arial Narrow" w:hAnsi="Arial Narrow" w:cs="Arial Narrow"/>
          <w:color w:val="000000"/>
        </w:rPr>
        <w:t>En seguimiento de cumplimiento de la sentencia que sanciona</w:t>
      </w:r>
      <w:r>
        <w:rPr>
          <w:rFonts w:ascii="Arial Narrow" w:eastAsia="Arial Narrow" w:hAnsi="Arial Narrow" w:cs="Arial Narrow"/>
          <w:color w:val="000000"/>
        </w:rPr>
        <w:t xml:space="preserve"> al Estado colombiana, la Corte IDH concluyó que la Ley 2094 de 2021 no cumple con lo previsto por esta. Menciona la Corte IDH lo siguiente:</w:t>
      </w:r>
    </w:p>
    <w:p w:rsidR="00FC7BAA" w:rsidRDefault="0013018E">
      <w:pPr>
        <w:pBdr>
          <w:top w:val="nil"/>
          <w:left w:val="nil"/>
          <w:bottom w:val="nil"/>
          <w:right w:val="nil"/>
          <w:between w:val="nil"/>
        </w:pBdr>
        <w:shd w:val="clear" w:color="auto" w:fill="FFFFFF"/>
        <w:spacing w:after="0" w:line="240" w:lineRule="auto"/>
        <w:ind w:left="708" w:right="51"/>
        <w:jc w:val="both"/>
        <w:rPr>
          <w:rFonts w:ascii="Arial Narrow" w:eastAsia="Arial Narrow" w:hAnsi="Arial Narrow" w:cs="Arial Narrow"/>
          <w:color w:val="000000"/>
        </w:rPr>
      </w:pPr>
      <w:r>
        <w:rPr>
          <w:rFonts w:ascii="Arial Narrow" w:eastAsia="Arial Narrow" w:hAnsi="Arial Narrow" w:cs="Arial Narrow"/>
          <w:color w:val="000000"/>
        </w:rPr>
        <w:t xml:space="preserve"> </w:t>
      </w:r>
    </w:p>
    <w:p w:rsidR="00FC7BAA" w:rsidRDefault="0013018E">
      <w:pPr>
        <w:pBdr>
          <w:top w:val="nil"/>
          <w:left w:val="nil"/>
          <w:bottom w:val="nil"/>
          <w:right w:val="nil"/>
          <w:between w:val="nil"/>
        </w:pBdr>
        <w:shd w:val="clear" w:color="auto" w:fill="FFFFFF"/>
        <w:spacing w:after="0" w:line="240" w:lineRule="auto"/>
        <w:ind w:left="708" w:right="51"/>
        <w:jc w:val="both"/>
        <w:rPr>
          <w:rFonts w:ascii="Arial Narrow" w:eastAsia="Arial Narrow" w:hAnsi="Arial Narrow" w:cs="Arial Narrow"/>
          <w:color w:val="000000"/>
        </w:rPr>
      </w:pPr>
      <w:r>
        <w:rPr>
          <w:rFonts w:ascii="Arial Narrow" w:eastAsia="Arial Narrow" w:hAnsi="Arial Narrow" w:cs="Arial Narrow"/>
          <w:color w:val="000000"/>
        </w:rPr>
        <w:t>“22. En ese sentido, la reforma legal planteada por el Estado continúa permitiendo que un órgano distinto a un ju</w:t>
      </w:r>
      <w:r>
        <w:rPr>
          <w:rFonts w:ascii="Arial Narrow" w:eastAsia="Arial Narrow" w:hAnsi="Arial Narrow" w:cs="Arial Narrow"/>
          <w:color w:val="000000"/>
        </w:rPr>
        <w:t>ez en proceso penal imponga restricciones a derechos políticos de funcionarios democráticamente electos, de manera incompatible con la literalidad del artículo 23.2 de la Convención Americana y con el objeto y fin de dicho instrumento. Tampoco ha sido indi</w:t>
      </w:r>
      <w:r>
        <w:rPr>
          <w:rFonts w:ascii="Arial Narrow" w:eastAsia="Arial Narrow" w:hAnsi="Arial Narrow" w:cs="Arial Narrow"/>
          <w:color w:val="000000"/>
        </w:rPr>
        <w:t>cado por el Estado que se hubiere reformado de manera alguna los artículos 44 y 45 del Código Disciplinario que este Tribunal dispuso que debían ser adecuados a estándares internacionales en materia de restricción de los derechos políticos (supra Considera</w:t>
      </w:r>
      <w:r>
        <w:rPr>
          <w:rFonts w:ascii="Arial Narrow" w:eastAsia="Arial Narrow" w:hAnsi="Arial Narrow" w:cs="Arial Narrow"/>
          <w:color w:val="000000"/>
        </w:rPr>
        <w:t>ndo 8.i), con lo cual la Procuraduría General de la Nación continúa reteniendo la facultad de imponer sanciones de destitución e inhabilitación a funcionarios públicos democráticamente electos, contraviniendo lo previsto en los artículos 23.2 y 2 de la Con</w:t>
      </w:r>
      <w:r>
        <w:rPr>
          <w:rFonts w:ascii="Arial Narrow" w:eastAsia="Arial Narrow" w:hAnsi="Arial Narrow" w:cs="Arial Narrow"/>
          <w:color w:val="000000"/>
        </w:rPr>
        <w:t xml:space="preserve">vención”. </w:t>
      </w: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p>
    <w:p w:rsidR="00FC7BAA" w:rsidRDefault="0013018E">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r>
        <w:rPr>
          <w:rFonts w:ascii="Arial Narrow" w:eastAsia="Arial Narrow" w:hAnsi="Arial Narrow" w:cs="Arial Narrow"/>
          <w:color w:val="000000"/>
        </w:rPr>
        <w:t xml:space="preserve">Asimismo, reitera la Corte IDH: </w:t>
      </w: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p>
    <w:p w:rsidR="00FC7BAA" w:rsidRDefault="0013018E">
      <w:pPr>
        <w:pBdr>
          <w:top w:val="nil"/>
          <w:left w:val="nil"/>
          <w:bottom w:val="nil"/>
          <w:right w:val="nil"/>
          <w:between w:val="nil"/>
        </w:pBdr>
        <w:shd w:val="clear" w:color="auto" w:fill="FFFFFF"/>
        <w:spacing w:after="0" w:line="240" w:lineRule="auto"/>
        <w:ind w:left="708" w:right="51"/>
        <w:jc w:val="both"/>
        <w:rPr>
          <w:rFonts w:ascii="Arial Narrow" w:eastAsia="Arial Narrow" w:hAnsi="Arial Narrow" w:cs="Arial Narrow"/>
          <w:color w:val="000000"/>
        </w:rPr>
      </w:pPr>
      <w:r>
        <w:rPr>
          <w:rFonts w:ascii="Arial Narrow" w:eastAsia="Arial Narrow" w:hAnsi="Arial Narrow" w:cs="Arial Narrow"/>
          <w:color w:val="000000"/>
        </w:rPr>
        <w:t>“24. En virtud de lo expuesto, se encuentra pendiente que el Estado adecue la normativa interna que faculta a la Procuraduría General de la Nación para imponer sanciones de destitución e inhabilitación a funcionarios públicos democráticamente electos, y se</w:t>
      </w:r>
      <w:r>
        <w:rPr>
          <w:rFonts w:ascii="Arial Narrow" w:eastAsia="Arial Narrow" w:hAnsi="Arial Narrow" w:cs="Arial Narrow"/>
          <w:color w:val="000000"/>
        </w:rPr>
        <w:t xml:space="preserve"> solicita que en su siguiente informe </w:t>
      </w:r>
      <w:r>
        <w:rPr>
          <w:rFonts w:ascii="Arial Narrow" w:eastAsia="Arial Narrow" w:hAnsi="Arial Narrow" w:cs="Arial Narrow"/>
        </w:rPr>
        <w:t>presenta</w:t>
      </w:r>
      <w:r>
        <w:rPr>
          <w:rFonts w:ascii="Arial Narrow" w:eastAsia="Arial Narrow" w:hAnsi="Arial Narrow" w:cs="Arial Narrow"/>
          <w:color w:val="000000"/>
        </w:rPr>
        <w:t xml:space="preserve"> información al respecto”. </w:t>
      </w:r>
    </w:p>
    <w:p w:rsidR="00FC7BAA" w:rsidRDefault="00FC7BAA">
      <w:pPr>
        <w:pBdr>
          <w:top w:val="nil"/>
          <w:left w:val="nil"/>
          <w:bottom w:val="nil"/>
          <w:right w:val="nil"/>
          <w:between w:val="nil"/>
        </w:pBdr>
        <w:shd w:val="clear" w:color="auto" w:fill="FFFFFF"/>
        <w:spacing w:after="0" w:line="240" w:lineRule="auto"/>
        <w:ind w:left="708" w:right="51"/>
        <w:jc w:val="both"/>
        <w:rPr>
          <w:rFonts w:ascii="Arial Narrow" w:eastAsia="Arial Narrow" w:hAnsi="Arial Narrow" w:cs="Arial Narrow"/>
        </w:rPr>
      </w:pPr>
    </w:p>
    <w:p w:rsidR="00FC7BAA" w:rsidRDefault="0013018E">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r>
        <w:rPr>
          <w:rFonts w:ascii="Arial Narrow" w:eastAsia="Arial Narrow" w:hAnsi="Arial Narrow" w:cs="Arial Narrow"/>
          <w:color w:val="000000"/>
        </w:rPr>
        <w:t>En ese sentido, el Gobierno de Gustavo Petro, atendiendo al deber de cumplimiento de la sentencia, radicó una propuesta de reforma constitucional. La Reforma Política radicada por e</w:t>
      </w:r>
      <w:r>
        <w:rPr>
          <w:rFonts w:ascii="Arial Narrow" w:eastAsia="Arial Narrow" w:hAnsi="Arial Narrow" w:cs="Arial Narrow"/>
          <w:color w:val="000000"/>
        </w:rPr>
        <w:t>l ministro del interior, Alfonso Prada, que pretendía generar diversas garantías para el ejercicio de la democracia fundadas en la participación política y su control incluyó en uno de los artículos modificar el artículo 40 de la Constitución Política bajo</w:t>
      </w:r>
      <w:r>
        <w:rPr>
          <w:rFonts w:ascii="Arial Narrow" w:eastAsia="Arial Narrow" w:hAnsi="Arial Narrow" w:cs="Arial Narrow"/>
          <w:color w:val="000000"/>
        </w:rPr>
        <w:t xml:space="preserve"> la premisa de que los servidores públicos elegidos por voto popular solo verían restringido el ejercicio de sus derechos políticos vía sentencia judicial proferida por un juez en un proceso penal o de </w:t>
      </w:r>
      <w:r>
        <w:rPr>
          <w:rFonts w:ascii="Arial Narrow" w:eastAsia="Arial Narrow" w:hAnsi="Arial Narrow" w:cs="Arial Narrow"/>
        </w:rPr>
        <w:t>pérdida</w:t>
      </w:r>
      <w:r>
        <w:rPr>
          <w:rFonts w:ascii="Arial Narrow" w:eastAsia="Arial Narrow" w:hAnsi="Arial Narrow" w:cs="Arial Narrow"/>
          <w:color w:val="000000"/>
        </w:rPr>
        <w:t xml:space="preserve"> de investidura en los casos determinados en la</w:t>
      </w:r>
      <w:r>
        <w:rPr>
          <w:rFonts w:ascii="Arial Narrow" w:eastAsia="Arial Narrow" w:hAnsi="Arial Narrow" w:cs="Arial Narrow"/>
          <w:color w:val="000000"/>
        </w:rPr>
        <w:t xml:space="preserve"> Constitución y la Ley, reservando a la Procuraduría únicamente la función de vigilancia en las conductas disciplinarias de estos.</w:t>
      </w: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p>
    <w:p w:rsidR="00FC7BAA" w:rsidRDefault="0013018E">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r>
        <w:rPr>
          <w:rFonts w:ascii="Arial Narrow" w:eastAsia="Arial Narrow" w:hAnsi="Arial Narrow" w:cs="Arial Narrow"/>
          <w:color w:val="000000"/>
        </w:rPr>
        <w:t xml:space="preserve"> En las ponencias de dicho proyecto lideradas por los representantes Heráclito Landinez y Luis Eduardo Díaz en los debates d</w:t>
      </w:r>
      <w:r>
        <w:rPr>
          <w:rFonts w:ascii="Arial Narrow" w:eastAsia="Arial Narrow" w:hAnsi="Arial Narrow" w:cs="Arial Narrow"/>
          <w:color w:val="000000"/>
        </w:rPr>
        <w:t>e la Comisión Primera de la Cámara de Representantes se expusieron algunas motivaciones que buscaban justificar dicho cambio. En primer lugar, la necesidad de armonizar el ordenamiento interno con los principios y normas establecidos en los tratados y conv</w:t>
      </w:r>
      <w:r>
        <w:rPr>
          <w:rFonts w:ascii="Arial Narrow" w:eastAsia="Arial Narrow" w:hAnsi="Arial Narrow" w:cs="Arial Narrow"/>
          <w:color w:val="000000"/>
        </w:rPr>
        <w:t>enios internacionales que conforman el bloque de constitucionalidad, al dar cumplimiento al artículo 23.2 de la Convención Americana de los Derechos Humanos, donde se estipula que el ejercicio de los derechos políticos de los servidores de elección popular</w:t>
      </w:r>
      <w:r>
        <w:rPr>
          <w:rFonts w:ascii="Arial Narrow" w:eastAsia="Arial Narrow" w:hAnsi="Arial Narrow" w:cs="Arial Narrow"/>
          <w:color w:val="000000"/>
        </w:rPr>
        <w:t xml:space="preserve"> no podrá ser limitados por ningún órgano administrativo, siendo facultad explícita de las autoridades judiciales a través de la sentencia judicial; asegurando de esta forma la vigencia de la Convención al garantizar su naturaleza preeminente y vinculante </w:t>
      </w:r>
      <w:r>
        <w:rPr>
          <w:rFonts w:ascii="Arial Narrow" w:eastAsia="Arial Narrow" w:hAnsi="Arial Narrow" w:cs="Arial Narrow"/>
          <w:color w:val="000000"/>
        </w:rPr>
        <w:t xml:space="preserve">en el ordenamiento jurídico con la finalidad de salvaguardar los Derechos Humanos. Conjuntamente, con esto se estaría ratificando el control de convencionalidad proferido por la Corte Interamericana de Derechos Humanos en el fallo del caso Petro Urrego vs </w:t>
      </w:r>
      <w:r>
        <w:rPr>
          <w:rFonts w:ascii="Arial Narrow" w:eastAsia="Arial Narrow" w:hAnsi="Arial Narrow" w:cs="Arial Narrow"/>
          <w:color w:val="000000"/>
        </w:rPr>
        <w:t xml:space="preserve">Colombia en el cual </w:t>
      </w:r>
      <w:r>
        <w:rPr>
          <w:rFonts w:ascii="Arial Narrow" w:eastAsia="Arial Narrow" w:hAnsi="Arial Narrow" w:cs="Arial Narrow"/>
          <w:b/>
          <w:color w:val="000000"/>
          <w:u w:val="single"/>
        </w:rPr>
        <w:t xml:space="preserve">se </w:t>
      </w:r>
      <w:r>
        <w:rPr>
          <w:rFonts w:ascii="Arial Narrow" w:eastAsia="Arial Narrow" w:hAnsi="Arial Narrow" w:cs="Arial Narrow"/>
          <w:b/>
          <w:u w:val="single"/>
        </w:rPr>
        <w:t>exhorta</w:t>
      </w:r>
      <w:r>
        <w:rPr>
          <w:rFonts w:ascii="Arial Narrow" w:eastAsia="Arial Narrow" w:hAnsi="Arial Narrow" w:cs="Arial Narrow"/>
          <w:b/>
          <w:color w:val="000000"/>
          <w:u w:val="single"/>
        </w:rPr>
        <w:t xml:space="preserve"> al Estado colombiano para adecuar su legislación interna eliminando las facultades sancionatorias conferidas a la Procuraduría en temas de derechos políticos, efectuando así sus obligaciones internacionales.</w:t>
      </w:r>
      <w:r>
        <w:rPr>
          <w:rFonts w:ascii="Arial Narrow" w:eastAsia="Arial Narrow" w:hAnsi="Arial Narrow" w:cs="Arial Narrow"/>
          <w:color w:val="000000"/>
        </w:rPr>
        <w:t xml:space="preserve"> </w:t>
      </w: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p>
    <w:p w:rsidR="00FC7BAA" w:rsidRDefault="0013018E">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En segundo lugar, con la modificación del artículo se estaría evitando el fenómeno de la politización del proceso disciplinario, garantizando que la investigación y sanción serían ejercidas una figura que goza de imparcialidad, independencia y objetividad </w:t>
      </w:r>
      <w:r>
        <w:rPr>
          <w:rFonts w:ascii="Arial Narrow" w:eastAsia="Arial Narrow" w:hAnsi="Arial Narrow" w:cs="Arial Narrow"/>
          <w:color w:val="000000"/>
        </w:rPr>
        <w:t>como lo es la del Juez, quien en el ejercicio de sus funciones se aleja de las pretensiones e intereses propios de la política; cuya índole se basa en la interpretación de las normas y la facultad de juzgar a partir de las infracciones ejercidas hacia esta</w:t>
      </w:r>
      <w:r>
        <w:rPr>
          <w:rFonts w:ascii="Arial Narrow" w:eastAsia="Arial Narrow" w:hAnsi="Arial Narrow" w:cs="Arial Narrow"/>
          <w:color w:val="000000"/>
        </w:rPr>
        <w:t>s.</w:t>
      </w: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p>
    <w:p w:rsidR="00FC7BAA" w:rsidRDefault="0013018E">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vertAlign w:val="superscript"/>
        </w:rPr>
      </w:pPr>
      <w:r>
        <w:rPr>
          <w:rFonts w:ascii="Arial Narrow" w:eastAsia="Arial Narrow" w:hAnsi="Arial Narrow" w:cs="Arial Narrow"/>
          <w:color w:val="000000"/>
        </w:rPr>
        <w:t xml:space="preserve"> Por último, es importante señalar que este proyecto no cumplió su trámite en el Congreso, debido a que la reforma fue retirada en el inicio de su segunda vuelta en el proceso legislativo. Finalmente, el más reciente pronunciamiento de la Corte Constit</w:t>
      </w:r>
      <w:r>
        <w:rPr>
          <w:rFonts w:ascii="Arial Narrow" w:eastAsia="Arial Narrow" w:hAnsi="Arial Narrow" w:cs="Arial Narrow"/>
          <w:color w:val="000000"/>
        </w:rPr>
        <w:t>ucional en la Sentencia C-030 de 2023 ha definido un panorama no tan claro sobre el cumplimiento de la CADH y el sentencia de la Corte IDH, ya que ha determinado que efectivamente no resulta constitucional otorgar facultades jurisdiccionales a la Procuradu</w:t>
      </w:r>
      <w:r>
        <w:rPr>
          <w:rFonts w:ascii="Arial Narrow" w:eastAsia="Arial Narrow" w:hAnsi="Arial Narrow" w:cs="Arial Narrow"/>
          <w:color w:val="000000"/>
        </w:rPr>
        <w:t>ría General de la Nación, sin embargo deja en firme la posibilidad de que esta pueda sancionar a funcionarios de elección popular, sanción que sólo quedará en firme posterior la revisión del contencioso administrativo. Sobre esta última decisión, el Consej</w:t>
      </w:r>
      <w:r>
        <w:rPr>
          <w:rFonts w:ascii="Arial Narrow" w:eastAsia="Arial Narrow" w:hAnsi="Arial Narrow" w:cs="Arial Narrow"/>
          <w:color w:val="000000"/>
        </w:rPr>
        <w:t>o de Estado ha mencionado sobre el recurso extraordinario de revisión sobre sanciones a servidores públicos de elección popular que este es convencional e inconstitucional. Menciona el Consejo de Estado</w:t>
      </w:r>
      <w:r>
        <w:rPr>
          <w:rFonts w:ascii="Arial Narrow" w:eastAsia="Arial Narrow" w:hAnsi="Arial Narrow" w:cs="Arial Narrow"/>
          <w:color w:val="000000"/>
          <w:vertAlign w:val="superscript"/>
        </w:rPr>
        <w:footnoteReference w:id="1"/>
      </w:r>
      <w:r>
        <w:rPr>
          <w:rFonts w:ascii="Arial Narrow" w:eastAsia="Arial Narrow" w:hAnsi="Arial Narrow" w:cs="Arial Narrow"/>
          <w:color w:val="000000"/>
        </w:rPr>
        <w:t xml:space="preserve"> que: </w:t>
      </w: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p>
    <w:p w:rsidR="00FC7BAA" w:rsidRDefault="0013018E">
      <w:pPr>
        <w:pBdr>
          <w:top w:val="nil"/>
          <w:left w:val="nil"/>
          <w:bottom w:val="nil"/>
          <w:right w:val="nil"/>
          <w:between w:val="nil"/>
        </w:pBdr>
        <w:shd w:val="clear" w:color="auto" w:fill="FFFFFF"/>
        <w:spacing w:after="0" w:line="240" w:lineRule="auto"/>
        <w:ind w:left="708" w:right="51"/>
        <w:jc w:val="both"/>
        <w:rPr>
          <w:rFonts w:ascii="Arial Narrow" w:eastAsia="Arial Narrow" w:hAnsi="Arial Narrow" w:cs="Arial Narrow"/>
          <w:color w:val="000000"/>
        </w:rPr>
      </w:pPr>
      <w:r>
        <w:rPr>
          <w:rFonts w:ascii="Arial Narrow" w:eastAsia="Arial Narrow" w:hAnsi="Arial Narrow" w:cs="Arial Narrow"/>
          <w:color w:val="000000"/>
        </w:rPr>
        <w:t>“En opinión del despacho, las precitadas disp</w:t>
      </w:r>
      <w:r>
        <w:rPr>
          <w:rFonts w:ascii="Arial Narrow" w:eastAsia="Arial Narrow" w:hAnsi="Arial Narrow" w:cs="Arial Narrow"/>
          <w:color w:val="000000"/>
        </w:rPr>
        <w:t>osiciones son violatorias de los artículos 8.1 y 23.2 de la CADH; contrarias a la decisión adoptada por la Corte IDH en el Caso Petro Urrego vs. Colombia y por lo mismo transgreden el artículo 68.1 de la mencionada convención; y por último, violan los artí</w:t>
      </w:r>
      <w:r>
        <w:rPr>
          <w:rFonts w:ascii="Arial Narrow" w:eastAsia="Arial Narrow" w:hAnsi="Arial Narrow" w:cs="Arial Narrow"/>
          <w:color w:val="000000"/>
        </w:rPr>
        <w:t>culos 4, 6, 13, 29, 31, 93, 113, 121, 123, 152-b, 229, 237, 238, 277-6 y 278-1 de la Constitución. Lo anterior, por las siguientes razones:</w:t>
      </w:r>
    </w:p>
    <w:p w:rsidR="00FC7BAA" w:rsidRDefault="00FC7BAA">
      <w:pPr>
        <w:pBdr>
          <w:top w:val="nil"/>
          <w:left w:val="nil"/>
          <w:bottom w:val="nil"/>
          <w:right w:val="nil"/>
          <w:between w:val="nil"/>
        </w:pBdr>
        <w:shd w:val="clear" w:color="auto" w:fill="FFFFFF"/>
        <w:spacing w:after="0" w:line="240" w:lineRule="auto"/>
        <w:ind w:left="708" w:right="51"/>
        <w:jc w:val="both"/>
        <w:rPr>
          <w:rFonts w:ascii="Arial Narrow" w:eastAsia="Arial Narrow" w:hAnsi="Arial Narrow" w:cs="Arial Narrow"/>
          <w:color w:val="000000"/>
        </w:rPr>
      </w:pPr>
    </w:p>
    <w:p w:rsidR="00FC7BAA" w:rsidRDefault="0013018E">
      <w:pPr>
        <w:numPr>
          <w:ilvl w:val="0"/>
          <w:numId w:val="4"/>
        </w:numPr>
        <w:pBdr>
          <w:top w:val="nil"/>
          <w:left w:val="nil"/>
          <w:bottom w:val="nil"/>
          <w:right w:val="nil"/>
          <w:between w:val="nil"/>
        </w:pBdr>
        <w:shd w:val="clear" w:color="auto" w:fill="FFFFFF"/>
        <w:spacing w:after="0" w:line="240" w:lineRule="auto"/>
        <w:ind w:right="51" w:hanging="720"/>
        <w:jc w:val="both"/>
        <w:rPr>
          <w:rFonts w:ascii="Arial Narrow" w:eastAsia="Arial Narrow" w:hAnsi="Arial Narrow" w:cs="Arial Narrow"/>
          <w:color w:val="000000"/>
        </w:rPr>
      </w:pPr>
      <w:r>
        <w:rPr>
          <w:rFonts w:ascii="Arial Narrow" w:eastAsia="Arial Narrow" w:hAnsi="Arial Narrow" w:cs="Arial Narrow"/>
          <w:color w:val="000000"/>
        </w:rPr>
        <w:t xml:space="preserve">Por desconocer los estándares convencionales plasmados en la CADH y en las sentencias proferidas por la Corte IDH; </w:t>
      </w:r>
    </w:p>
    <w:p w:rsidR="00FC7BAA" w:rsidRDefault="0013018E">
      <w:pPr>
        <w:numPr>
          <w:ilvl w:val="0"/>
          <w:numId w:val="4"/>
        </w:numPr>
        <w:pBdr>
          <w:top w:val="nil"/>
          <w:left w:val="nil"/>
          <w:bottom w:val="nil"/>
          <w:right w:val="nil"/>
          <w:between w:val="nil"/>
        </w:pBdr>
        <w:shd w:val="clear" w:color="auto" w:fill="FFFFFF"/>
        <w:spacing w:after="0" w:line="240" w:lineRule="auto"/>
        <w:ind w:right="51" w:hanging="720"/>
        <w:jc w:val="both"/>
        <w:rPr>
          <w:rFonts w:ascii="Arial Narrow" w:eastAsia="Arial Narrow" w:hAnsi="Arial Narrow" w:cs="Arial Narrow"/>
          <w:color w:val="000000"/>
        </w:rPr>
      </w:pPr>
      <w:r>
        <w:rPr>
          <w:rFonts w:ascii="Arial Narrow" w:eastAsia="Arial Narrow" w:hAnsi="Arial Narrow" w:cs="Arial Narrow"/>
          <w:color w:val="000000"/>
        </w:rPr>
        <w:t>Por desconocer el principio constitucional de separación de poderes y asignarle al Consejo de Estado funciones distintas de las que la Constitución y la ley estatutaria de administración de justicia le atribuyen;</w:t>
      </w:r>
    </w:p>
    <w:p w:rsidR="00FC7BAA" w:rsidRDefault="0013018E">
      <w:pPr>
        <w:numPr>
          <w:ilvl w:val="0"/>
          <w:numId w:val="4"/>
        </w:numPr>
        <w:pBdr>
          <w:top w:val="nil"/>
          <w:left w:val="nil"/>
          <w:bottom w:val="nil"/>
          <w:right w:val="nil"/>
          <w:between w:val="nil"/>
        </w:pBdr>
        <w:shd w:val="clear" w:color="auto" w:fill="FFFFFF"/>
        <w:spacing w:after="0" w:line="240" w:lineRule="auto"/>
        <w:ind w:right="51" w:hanging="720"/>
        <w:jc w:val="both"/>
        <w:rPr>
          <w:rFonts w:ascii="Arial Narrow" w:eastAsia="Arial Narrow" w:hAnsi="Arial Narrow" w:cs="Arial Narrow"/>
          <w:color w:val="000000"/>
        </w:rPr>
      </w:pPr>
      <w:r>
        <w:rPr>
          <w:rFonts w:ascii="Arial Narrow" w:eastAsia="Arial Narrow" w:hAnsi="Arial Narrow" w:cs="Arial Narrow"/>
          <w:color w:val="000000"/>
        </w:rPr>
        <w:t xml:space="preserve"> Por haber sido expedida pretermitiendo el</w:t>
      </w:r>
      <w:r>
        <w:rPr>
          <w:rFonts w:ascii="Arial Narrow" w:eastAsia="Arial Narrow" w:hAnsi="Arial Narrow" w:cs="Arial Narrow"/>
          <w:color w:val="000000"/>
        </w:rPr>
        <w:t xml:space="preserve"> trámite definido para la aprobación de leyes estatutarias; y </w:t>
      </w:r>
    </w:p>
    <w:p w:rsidR="00FC7BAA" w:rsidRDefault="0013018E">
      <w:pPr>
        <w:numPr>
          <w:ilvl w:val="0"/>
          <w:numId w:val="4"/>
        </w:numPr>
        <w:pBdr>
          <w:top w:val="nil"/>
          <w:left w:val="nil"/>
          <w:bottom w:val="nil"/>
          <w:right w:val="nil"/>
          <w:between w:val="nil"/>
        </w:pBdr>
        <w:shd w:val="clear" w:color="auto" w:fill="FFFFFF"/>
        <w:spacing w:after="0" w:line="240" w:lineRule="auto"/>
        <w:ind w:right="51" w:hanging="720"/>
        <w:jc w:val="both"/>
        <w:rPr>
          <w:rFonts w:ascii="Arial Narrow" w:eastAsia="Arial Narrow" w:hAnsi="Arial Narrow" w:cs="Arial Narrow"/>
          <w:color w:val="000000"/>
        </w:rPr>
      </w:pPr>
      <w:r>
        <w:rPr>
          <w:rFonts w:ascii="Arial Narrow" w:eastAsia="Arial Narrow" w:hAnsi="Arial Narrow" w:cs="Arial Narrow"/>
          <w:color w:val="000000"/>
        </w:rPr>
        <w:t>Por violar algunas de las garantías inherentes al debido proceso.”</w:t>
      </w:r>
    </w:p>
    <w:p w:rsidR="00FC7BAA" w:rsidRDefault="00FC7BAA">
      <w:pPr>
        <w:pBdr>
          <w:top w:val="nil"/>
          <w:left w:val="nil"/>
          <w:bottom w:val="nil"/>
          <w:right w:val="nil"/>
          <w:between w:val="nil"/>
        </w:pBdr>
        <w:shd w:val="clear" w:color="auto" w:fill="FFFFFF"/>
        <w:spacing w:after="0" w:line="240" w:lineRule="auto"/>
        <w:ind w:left="1473" w:right="51"/>
        <w:jc w:val="both"/>
        <w:rPr>
          <w:rFonts w:ascii="Arial Narrow" w:eastAsia="Arial Narrow" w:hAnsi="Arial Narrow" w:cs="Arial Narrow"/>
          <w:color w:val="000000"/>
        </w:rPr>
      </w:pPr>
    </w:p>
    <w:p w:rsidR="00FC7BAA" w:rsidRDefault="00FC7BAA">
      <w:pPr>
        <w:pBdr>
          <w:top w:val="nil"/>
          <w:left w:val="nil"/>
          <w:bottom w:val="nil"/>
          <w:right w:val="nil"/>
          <w:between w:val="nil"/>
        </w:pBdr>
        <w:shd w:val="clear" w:color="auto" w:fill="FFFFFF"/>
        <w:spacing w:after="0" w:line="240" w:lineRule="auto"/>
        <w:ind w:left="1473" w:right="51"/>
        <w:jc w:val="both"/>
        <w:rPr>
          <w:rFonts w:ascii="Arial Narrow" w:eastAsia="Arial Narrow" w:hAnsi="Arial Narrow" w:cs="Arial Narrow"/>
          <w:color w:val="000000"/>
        </w:rPr>
      </w:pPr>
    </w:p>
    <w:p w:rsidR="00FC7BAA" w:rsidRDefault="0013018E">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r>
        <w:rPr>
          <w:rFonts w:ascii="Arial Narrow" w:eastAsia="Arial Narrow" w:hAnsi="Arial Narrow" w:cs="Arial Narrow"/>
          <w:color w:val="000000"/>
        </w:rPr>
        <w:t xml:space="preserve"> Asimismo, sigue advirtiendo el Consejo de Estado en la misma providencia que:</w:t>
      </w: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p>
    <w:p w:rsidR="00FC7BAA" w:rsidRDefault="0013018E">
      <w:pPr>
        <w:pBdr>
          <w:top w:val="nil"/>
          <w:left w:val="nil"/>
          <w:bottom w:val="nil"/>
          <w:right w:val="nil"/>
          <w:between w:val="nil"/>
        </w:pBdr>
        <w:shd w:val="clear" w:color="auto" w:fill="FFFFFF"/>
        <w:spacing w:after="0" w:line="240" w:lineRule="auto"/>
        <w:ind w:left="708" w:right="51"/>
        <w:jc w:val="both"/>
        <w:rPr>
          <w:rFonts w:ascii="Arial Narrow" w:eastAsia="Arial Narrow" w:hAnsi="Arial Narrow" w:cs="Arial Narrow"/>
          <w:color w:val="000000"/>
        </w:rPr>
      </w:pPr>
      <w:r>
        <w:rPr>
          <w:rFonts w:ascii="Arial Narrow" w:eastAsia="Arial Narrow" w:hAnsi="Arial Narrow" w:cs="Arial Narrow"/>
          <w:color w:val="000000"/>
        </w:rPr>
        <w:t xml:space="preserve"> “(…) el recurso extraordinario de revisión tantas veces aludido, no puede ser empleado para acometer la revisión de unos actos administrativos sancionatorios, por cuanto ello entrañaría una convalidación de la legalidad de ese tipo de actuaciones y decisi</w:t>
      </w:r>
      <w:r>
        <w:rPr>
          <w:rFonts w:ascii="Arial Narrow" w:eastAsia="Arial Narrow" w:hAnsi="Arial Narrow" w:cs="Arial Narrow"/>
          <w:color w:val="000000"/>
        </w:rPr>
        <w:t xml:space="preserve">ones, de espaldas al régimen jurídico del sistema interamericano y de los estándares convencionales desarrollados por la Corte IDH”. </w:t>
      </w: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p>
    <w:p w:rsidR="00FC7BAA" w:rsidRDefault="0013018E">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r>
        <w:rPr>
          <w:rFonts w:ascii="Arial Narrow" w:eastAsia="Arial Narrow" w:hAnsi="Arial Narrow" w:cs="Arial Narrow"/>
          <w:color w:val="000000"/>
        </w:rPr>
        <w:t xml:space="preserve">En ese sentido, se identifica la pertinencia y urgencia de tramitar </w:t>
      </w:r>
      <w:r>
        <w:rPr>
          <w:rFonts w:ascii="Arial Narrow" w:eastAsia="Arial Narrow" w:hAnsi="Arial Narrow" w:cs="Arial Narrow"/>
        </w:rPr>
        <w:t>esta</w:t>
      </w:r>
      <w:r>
        <w:rPr>
          <w:rFonts w:ascii="Arial Narrow" w:eastAsia="Arial Narrow" w:hAnsi="Arial Narrow" w:cs="Arial Narrow"/>
          <w:color w:val="000000"/>
        </w:rPr>
        <w:t xml:space="preserve"> iniciativa de reforma constitucional para poder solventar el cumplimiento a las obligaciones </w:t>
      </w:r>
      <w:r>
        <w:rPr>
          <w:rFonts w:ascii="Arial Narrow" w:eastAsia="Arial Narrow" w:hAnsi="Arial Narrow" w:cs="Arial Narrow"/>
        </w:rPr>
        <w:t>internacionales</w:t>
      </w:r>
      <w:r>
        <w:rPr>
          <w:rFonts w:ascii="Arial Narrow" w:eastAsia="Arial Narrow" w:hAnsi="Arial Narrow" w:cs="Arial Narrow"/>
          <w:color w:val="000000"/>
        </w:rPr>
        <w:t xml:space="preserve"> del Estado colombiano adquiridas con la sentencia de la Corte IDH.</w:t>
      </w: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rPr>
      </w:pPr>
    </w:p>
    <w:p w:rsidR="00FC7BAA" w:rsidRDefault="00FC7BAA">
      <w:pPr>
        <w:pBdr>
          <w:top w:val="nil"/>
          <w:left w:val="nil"/>
          <w:bottom w:val="nil"/>
          <w:right w:val="nil"/>
          <w:between w:val="nil"/>
        </w:pBdr>
        <w:shd w:val="clear" w:color="auto" w:fill="FFFFFF"/>
        <w:spacing w:after="0" w:line="240" w:lineRule="auto"/>
        <w:ind w:left="360" w:right="51"/>
        <w:jc w:val="both"/>
        <w:rPr>
          <w:rFonts w:ascii="Arial Narrow" w:eastAsia="Arial Narrow" w:hAnsi="Arial Narrow" w:cs="Arial Narrow"/>
          <w:color w:val="000000"/>
        </w:rPr>
      </w:pPr>
    </w:p>
    <w:p w:rsidR="00FC7BAA" w:rsidRDefault="0013018E">
      <w:pPr>
        <w:numPr>
          <w:ilvl w:val="0"/>
          <w:numId w:val="3"/>
        </w:numPr>
        <w:pBdr>
          <w:top w:val="nil"/>
          <w:left w:val="nil"/>
          <w:bottom w:val="nil"/>
          <w:right w:val="nil"/>
          <w:between w:val="nil"/>
        </w:pBdr>
        <w:shd w:val="clear" w:color="auto" w:fill="FFFFFF"/>
        <w:spacing w:after="0" w:line="240" w:lineRule="auto"/>
        <w:ind w:right="51"/>
        <w:jc w:val="both"/>
        <w:rPr>
          <w:rFonts w:ascii="Arial Narrow" w:eastAsia="Arial Narrow" w:hAnsi="Arial Narrow" w:cs="Arial Narrow"/>
          <w:b/>
          <w:color w:val="000000"/>
        </w:rPr>
      </w:pPr>
      <w:r>
        <w:rPr>
          <w:rFonts w:ascii="Arial Narrow" w:eastAsia="Arial Narrow" w:hAnsi="Arial Narrow" w:cs="Arial Narrow"/>
          <w:b/>
          <w:color w:val="000000"/>
        </w:rPr>
        <w:t xml:space="preserve">ALCANCE DE LA SENTENCIA DE LA CORTE </w:t>
      </w:r>
      <w:r>
        <w:rPr>
          <w:rFonts w:ascii="Arial Narrow" w:eastAsia="Arial Narrow" w:hAnsi="Arial Narrow" w:cs="Arial Narrow"/>
          <w:b/>
        </w:rPr>
        <w:t>INTERAMERICANA</w:t>
      </w:r>
      <w:r>
        <w:rPr>
          <w:rFonts w:ascii="Arial Narrow" w:eastAsia="Arial Narrow" w:hAnsi="Arial Narrow" w:cs="Arial Narrow"/>
          <w:b/>
          <w:color w:val="000000"/>
        </w:rPr>
        <w:t xml:space="preserve"> DE DERECHOS HUMANOS</w:t>
      </w:r>
    </w:p>
    <w:p w:rsidR="00FC7BAA" w:rsidRDefault="00FC7BAA">
      <w:pPr>
        <w:pBdr>
          <w:top w:val="nil"/>
          <w:left w:val="nil"/>
          <w:bottom w:val="nil"/>
          <w:right w:val="nil"/>
          <w:between w:val="nil"/>
        </w:pBdr>
        <w:spacing w:after="0"/>
        <w:ind w:left="720"/>
        <w:jc w:val="both"/>
        <w:rPr>
          <w:rFonts w:ascii="Arial Narrow" w:eastAsia="Arial Narrow" w:hAnsi="Arial Narrow" w:cs="Arial Narrow"/>
          <w:color w:val="000000"/>
        </w:rPr>
      </w:pPr>
    </w:p>
    <w:p w:rsidR="00FC7BAA" w:rsidRDefault="0013018E">
      <w:p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color w:val="000000"/>
        </w:rPr>
        <w:t>Como se ha mencionado, el 8 de julio de 2020 la Corte IDH profirió la sentencia del caso de Petro Urrego vs Colombia, en la cual se dispuso a evaluar si la sanción al entonces Alcalde Mayor de Bogotá</w:t>
      </w:r>
      <w:r>
        <w:rPr>
          <w:rFonts w:ascii="Arial Narrow" w:eastAsia="Arial Narrow" w:hAnsi="Arial Narrow" w:cs="Arial Narrow"/>
        </w:rPr>
        <w:t xml:space="preserve"> </w:t>
      </w:r>
      <w:r>
        <w:rPr>
          <w:rFonts w:ascii="Arial Narrow" w:eastAsia="Arial Narrow" w:hAnsi="Arial Narrow" w:cs="Arial Narrow"/>
          <w:color w:val="000000"/>
        </w:rPr>
        <w:t>se encuentra adecuada con lo previsto en la CADH en mate</w:t>
      </w:r>
      <w:r>
        <w:rPr>
          <w:rFonts w:ascii="Arial Narrow" w:eastAsia="Arial Narrow" w:hAnsi="Arial Narrow" w:cs="Arial Narrow"/>
          <w:color w:val="000000"/>
        </w:rPr>
        <w:t>ria de protección de derechos políticos.</w:t>
      </w:r>
    </w:p>
    <w:p w:rsidR="00FC7BAA" w:rsidRDefault="00FC7BAA">
      <w:pPr>
        <w:pBdr>
          <w:top w:val="nil"/>
          <w:left w:val="nil"/>
          <w:bottom w:val="nil"/>
          <w:right w:val="nil"/>
          <w:between w:val="nil"/>
        </w:pBdr>
        <w:spacing w:after="0"/>
        <w:ind w:left="720"/>
        <w:jc w:val="both"/>
        <w:rPr>
          <w:rFonts w:ascii="Arial Narrow" w:eastAsia="Arial Narrow" w:hAnsi="Arial Narrow" w:cs="Arial Narrow"/>
          <w:color w:val="000000"/>
        </w:rPr>
      </w:pPr>
    </w:p>
    <w:p w:rsidR="00FC7BAA" w:rsidRDefault="0013018E">
      <w:p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color w:val="000000"/>
        </w:rPr>
        <w:t>En dicha sentencia, el Alto Tribunal Interamericano señaló que: “El ejercicio efectivo de los derechos políticos constituye un fin en sí mismo y, a la vez, un medio fundamental que las sociedades democráticas tienen para garantizar los demás derechos human</w:t>
      </w:r>
      <w:r>
        <w:rPr>
          <w:rFonts w:ascii="Arial Narrow" w:eastAsia="Arial Narrow" w:hAnsi="Arial Narrow" w:cs="Arial Narrow"/>
          <w:color w:val="000000"/>
        </w:rPr>
        <w:t>os previstos en la Convención (…)Los derechos políticos y su ejercicio propician el fortalecimiento de la democracia y el pluralismo político (…) Por otro lado, la Corte recuerda que los derechos políticos no son absolutos, de forma tal que su ejercicio pu</w:t>
      </w:r>
      <w:r>
        <w:rPr>
          <w:rFonts w:ascii="Arial Narrow" w:eastAsia="Arial Narrow" w:hAnsi="Arial Narrow" w:cs="Arial Narrow"/>
          <w:color w:val="000000"/>
        </w:rPr>
        <w:t>ede estar sujeto a regulaciones o restricciones. Sin embargo, la facultad de regular o restringir los derechos no es discrecional, sino que está limitada por el derecho internacional, el cual requiere el cumplimiento de determinadas exigencias que, de no s</w:t>
      </w:r>
      <w:r>
        <w:rPr>
          <w:rFonts w:ascii="Arial Narrow" w:eastAsia="Arial Narrow" w:hAnsi="Arial Narrow" w:cs="Arial Narrow"/>
          <w:color w:val="000000"/>
        </w:rPr>
        <w:t>er respetadas, transforman la restricción en ilegítima y contraria a la Convención Americana (…) Asimismo, cabe recordar que, como</w:t>
      </w:r>
      <w:r>
        <w:rPr>
          <w:rFonts w:ascii="Arial Narrow" w:eastAsia="Arial Narrow" w:hAnsi="Arial Narrow" w:cs="Arial Narrow"/>
        </w:rPr>
        <w:t xml:space="preserve"> </w:t>
      </w:r>
      <w:r>
        <w:rPr>
          <w:rFonts w:ascii="Arial Narrow" w:eastAsia="Arial Narrow" w:hAnsi="Arial Narrow" w:cs="Arial Narrow"/>
          <w:color w:val="000000"/>
        </w:rPr>
        <w:t>lo establece el artículo 29 de la Convención, ninguna norma de la Convención puede ser interpretada</w:t>
      </w:r>
      <w:r>
        <w:rPr>
          <w:rFonts w:ascii="Arial Narrow" w:eastAsia="Arial Narrow" w:hAnsi="Arial Narrow" w:cs="Arial Narrow"/>
        </w:rPr>
        <w:t xml:space="preserve"> </w:t>
      </w:r>
      <w:r>
        <w:rPr>
          <w:rFonts w:ascii="Arial Narrow" w:eastAsia="Arial Narrow" w:hAnsi="Arial Narrow" w:cs="Arial Narrow"/>
          <w:color w:val="000000"/>
        </w:rPr>
        <w:t>en sentido de limitar los</w:t>
      </w:r>
      <w:r>
        <w:rPr>
          <w:rFonts w:ascii="Arial Narrow" w:eastAsia="Arial Narrow" w:hAnsi="Arial Narrow" w:cs="Arial Narrow"/>
          <w:color w:val="000000"/>
        </w:rPr>
        <w:t xml:space="preserve"> derechos en mayor medida que la prevista en ella”.</w:t>
      </w:r>
    </w:p>
    <w:p w:rsidR="00FC7BAA" w:rsidRDefault="00FC7BAA">
      <w:pPr>
        <w:pBdr>
          <w:top w:val="nil"/>
          <w:left w:val="nil"/>
          <w:bottom w:val="nil"/>
          <w:right w:val="nil"/>
          <w:between w:val="nil"/>
        </w:pBdr>
        <w:spacing w:after="0"/>
        <w:ind w:left="720"/>
        <w:jc w:val="both"/>
        <w:rPr>
          <w:rFonts w:ascii="Arial Narrow" w:eastAsia="Arial Narrow" w:hAnsi="Arial Narrow" w:cs="Arial Narrow"/>
          <w:color w:val="000000"/>
        </w:rPr>
      </w:pPr>
    </w:p>
    <w:p w:rsidR="00FC7BAA" w:rsidRDefault="0013018E">
      <w:p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color w:val="000000"/>
        </w:rPr>
        <w:t>Es así como, reiterando su jurisprudencia que versó sobre el caso Leopoldo López Vs. Venezuela, la</w:t>
      </w:r>
    </w:p>
    <w:p w:rsidR="00FC7BAA" w:rsidRDefault="0013018E">
      <w:p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color w:val="000000"/>
        </w:rPr>
        <w:t>Corte IDH reiteró sobre el alcance convencional sobre restricción de derechos políticos que “el artículo</w:t>
      </w:r>
      <w:r>
        <w:rPr>
          <w:rFonts w:ascii="Arial Narrow" w:eastAsia="Arial Narrow" w:hAnsi="Arial Narrow" w:cs="Arial Narrow"/>
        </w:rPr>
        <w:t xml:space="preserve"> </w:t>
      </w:r>
      <w:r>
        <w:rPr>
          <w:rFonts w:ascii="Arial Narrow" w:eastAsia="Arial Narrow" w:hAnsi="Arial Narrow" w:cs="Arial Narrow"/>
          <w:color w:val="000000"/>
        </w:rPr>
        <w:t>23.2 de la Convención determina cuáles son las causales que permiten restringir los derechos reconocidos en el artículo 23.1 (…) En el presente caso, que se refiere a una restricción impuesta por</w:t>
      </w:r>
      <w:r>
        <w:rPr>
          <w:rFonts w:ascii="Arial Narrow" w:eastAsia="Arial Narrow" w:hAnsi="Arial Narrow" w:cs="Arial Narrow"/>
        </w:rPr>
        <w:t xml:space="preserve"> </w:t>
      </w:r>
      <w:r>
        <w:rPr>
          <w:rFonts w:ascii="Arial Narrow" w:eastAsia="Arial Narrow" w:hAnsi="Arial Narrow" w:cs="Arial Narrow"/>
          <w:color w:val="000000"/>
        </w:rPr>
        <w:t xml:space="preserve">vía de sanción, debería tratarse de una “(i) condena, (ii) </w:t>
      </w:r>
      <w:r>
        <w:rPr>
          <w:rFonts w:ascii="Arial Narrow" w:eastAsia="Arial Narrow" w:hAnsi="Arial Narrow" w:cs="Arial Narrow"/>
          <w:color w:val="000000"/>
        </w:rPr>
        <w:t>por juez competente, (iii) en proceso penal”. Bajo esta consideración no es dable que los países que han ratificado el Pacto de San José puedan permitir dentro de sus ordenamientos jurídicos internos que autoridades administrativas, como es el caso de Colo</w:t>
      </w:r>
      <w:r>
        <w:rPr>
          <w:rFonts w:ascii="Arial Narrow" w:eastAsia="Arial Narrow" w:hAnsi="Arial Narrow" w:cs="Arial Narrow"/>
          <w:color w:val="000000"/>
        </w:rPr>
        <w:t>mbia con la Procuraduría General de la Nación, puedan suspender, destituir o inhabilitar</w:t>
      </w:r>
      <w:r>
        <w:rPr>
          <w:rFonts w:ascii="Arial Narrow" w:eastAsia="Arial Narrow" w:hAnsi="Arial Narrow" w:cs="Arial Narrow"/>
        </w:rPr>
        <w:t xml:space="preserve"> </w:t>
      </w:r>
      <w:r>
        <w:rPr>
          <w:rFonts w:ascii="Arial Narrow" w:eastAsia="Arial Narrow" w:hAnsi="Arial Narrow" w:cs="Arial Narrow"/>
          <w:color w:val="000000"/>
        </w:rPr>
        <w:t>a funcionarios de elección popular, lo cual significa una limitación o restricción de derechos políticos.</w:t>
      </w:r>
    </w:p>
    <w:p w:rsidR="00FC7BAA" w:rsidRDefault="00FC7BAA">
      <w:pPr>
        <w:pBdr>
          <w:top w:val="nil"/>
          <w:left w:val="nil"/>
          <w:bottom w:val="nil"/>
          <w:right w:val="nil"/>
          <w:between w:val="nil"/>
        </w:pBdr>
        <w:spacing w:after="0"/>
        <w:ind w:left="720"/>
        <w:jc w:val="both"/>
        <w:rPr>
          <w:rFonts w:ascii="Arial Narrow" w:eastAsia="Arial Narrow" w:hAnsi="Arial Narrow" w:cs="Arial Narrow"/>
          <w:color w:val="000000"/>
        </w:rPr>
      </w:pPr>
    </w:p>
    <w:p w:rsidR="00FC7BAA" w:rsidRDefault="0013018E">
      <w:p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color w:val="000000"/>
        </w:rPr>
        <w:t>Sobre el punto anterior, la Corte IDH hace énfasis en que la</w:t>
      </w:r>
      <w:r>
        <w:rPr>
          <w:rFonts w:ascii="Arial Narrow" w:eastAsia="Arial Narrow" w:hAnsi="Arial Narrow" w:cs="Arial Narrow"/>
          <w:color w:val="000000"/>
        </w:rPr>
        <w:t xml:space="preserve"> interpretación de la CADH, en particular lo definido en el artículo 23 convencional, debe hacerse de forma literal y no permite otro tipo de alcance. Lo anterior contraría el argumento actual de la Procuradora General de la Nación para sostener que puede </w:t>
      </w:r>
      <w:r>
        <w:rPr>
          <w:rFonts w:ascii="Arial Narrow" w:eastAsia="Arial Narrow" w:hAnsi="Arial Narrow" w:cs="Arial Narrow"/>
          <w:color w:val="000000"/>
        </w:rPr>
        <w:t>existir una “interpretación evolutiva” y así justificar que pueda sancionar a funcionarios de elección popular. La Corte IDH menciona en su sentencia lo siguiente: “El Tribunal considera que la interpretación literal de este precepto permite arribar a esta</w:t>
      </w:r>
      <w:r>
        <w:rPr>
          <w:rFonts w:ascii="Arial Narrow" w:eastAsia="Arial Narrow" w:hAnsi="Arial Narrow" w:cs="Arial Narrow"/>
          <w:color w:val="000000"/>
        </w:rPr>
        <w:t xml:space="preserve"> conclusión [según la cual ningún órgano administrativo puede restricción de los derechos políticos de una persona], pues tanto la destitución como la inhabilitación son restricciones a los derechos políticos, no sólo de aquellos funcionarios públicos eleg</w:t>
      </w:r>
      <w:r>
        <w:rPr>
          <w:rFonts w:ascii="Arial Narrow" w:eastAsia="Arial Narrow" w:hAnsi="Arial Narrow" w:cs="Arial Narrow"/>
          <w:color w:val="000000"/>
        </w:rPr>
        <w:t>idos popularmente, sino también de sus electores (…) esta interpretación literal resulta corroborada si se acude al objeto y fin de la Convención para comprender los alcances del artículo 23.2 del mismo instrumento (…) La interpretación teleológica permite</w:t>
      </w:r>
      <w:r>
        <w:rPr>
          <w:rFonts w:ascii="Arial Narrow" w:eastAsia="Arial Narrow" w:hAnsi="Arial Narrow" w:cs="Arial Narrow"/>
          <w:color w:val="000000"/>
        </w:rPr>
        <w:t xml:space="preserve"> resaltar que, en las restricciones a los derechos reconocidos por la Convención, debe existir un estricto respeto de las debidas garantías convencionales. La Corte considera que el artículo 23.2 de la Convención, al establecer un listado de posibles causa</w:t>
      </w:r>
      <w:r>
        <w:rPr>
          <w:rFonts w:ascii="Arial Narrow" w:eastAsia="Arial Narrow" w:hAnsi="Arial Narrow" w:cs="Arial Narrow"/>
          <w:color w:val="000000"/>
        </w:rPr>
        <w:t>les para la limitación o reglamentación de los derechos políticos, tiene como objeto determinar criterios claros y regímenes específicos bajo los cuales dichos</w:t>
      </w:r>
      <w:r>
        <w:rPr>
          <w:rFonts w:ascii="Arial Narrow" w:eastAsia="Arial Narrow" w:hAnsi="Arial Narrow" w:cs="Arial Narrow"/>
        </w:rPr>
        <w:t xml:space="preserve"> </w:t>
      </w:r>
      <w:r>
        <w:rPr>
          <w:rFonts w:ascii="Arial Narrow" w:eastAsia="Arial Narrow" w:hAnsi="Arial Narrow" w:cs="Arial Narrow"/>
          <w:color w:val="000000"/>
        </w:rPr>
        <w:t xml:space="preserve">derechos pueden ser limitados. Lo anterior busca que la limitación de los derechos políticos no </w:t>
      </w:r>
      <w:r>
        <w:rPr>
          <w:rFonts w:ascii="Arial Narrow" w:eastAsia="Arial Narrow" w:hAnsi="Arial Narrow" w:cs="Arial Narrow"/>
          <w:color w:val="000000"/>
        </w:rPr>
        <w:t>quede</w:t>
      </w:r>
      <w:r>
        <w:rPr>
          <w:rFonts w:ascii="Arial Narrow" w:eastAsia="Arial Narrow" w:hAnsi="Arial Narrow" w:cs="Arial Narrow"/>
        </w:rPr>
        <w:t xml:space="preserve"> </w:t>
      </w:r>
      <w:r>
        <w:rPr>
          <w:rFonts w:ascii="Arial Narrow" w:eastAsia="Arial Narrow" w:hAnsi="Arial Narrow" w:cs="Arial Narrow"/>
          <w:color w:val="000000"/>
        </w:rPr>
        <w:t>al arbitrio o voluntad del gobernante de turno, con el fin de proteger que la oposición política pueda</w:t>
      </w:r>
      <w:r>
        <w:rPr>
          <w:rFonts w:ascii="Arial Narrow" w:eastAsia="Arial Narrow" w:hAnsi="Arial Narrow" w:cs="Arial Narrow"/>
        </w:rPr>
        <w:t xml:space="preserve"> </w:t>
      </w:r>
      <w:r>
        <w:rPr>
          <w:rFonts w:ascii="Arial Narrow" w:eastAsia="Arial Narrow" w:hAnsi="Arial Narrow" w:cs="Arial Narrow"/>
          <w:color w:val="000000"/>
        </w:rPr>
        <w:t>ejercer su posición sin restricciones indebidas”.</w:t>
      </w:r>
    </w:p>
    <w:p w:rsidR="00FC7BAA" w:rsidRDefault="00FC7BAA">
      <w:pPr>
        <w:pBdr>
          <w:top w:val="nil"/>
          <w:left w:val="nil"/>
          <w:bottom w:val="nil"/>
          <w:right w:val="nil"/>
          <w:between w:val="nil"/>
        </w:pBdr>
        <w:spacing w:after="0"/>
        <w:ind w:left="720"/>
        <w:jc w:val="both"/>
        <w:rPr>
          <w:rFonts w:ascii="Arial Narrow" w:eastAsia="Arial Narrow" w:hAnsi="Arial Narrow" w:cs="Arial Narrow"/>
          <w:color w:val="000000"/>
        </w:rPr>
      </w:pPr>
    </w:p>
    <w:p w:rsidR="00FC7BAA" w:rsidRDefault="0013018E">
      <w:p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color w:val="000000"/>
        </w:rPr>
        <w:t>Asimismo, es importante destacar, que el mismo artículo 29 convencional menciona que: “Ninguna</w:t>
      </w:r>
    </w:p>
    <w:p w:rsidR="00FC7BAA" w:rsidRDefault="0013018E">
      <w:p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color w:val="000000"/>
        </w:rPr>
        <w:lastRenderedPageBreak/>
        <w:t>d</w:t>
      </w:r>
      <w:r>
        <w:rPr>
          <w:rFonts w:ascii="Arial Narrow" w:eastAsia="Arial Narrow" w:hAnsi="Arial Narrow" w:cs="Arial Narrow"/>
          <w:color w:val="000000"/>
        </w:rPr>
        <w:t>isposición de la presente Convención puede ser interpretada en el sentido de: a) permitir a alguno de los Estados Partes, grupo o persona, suprimir el goce y ejercicio de los derechos y libertades</w:t>
      </w:r>
    </w:p>
    <w:p w:rsidR="00FC7BAA" w:rsidRDefault="0013018E">
      <w:p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color w:val="000000"/>
        </w:rPr>
        <w:t>reconocidos en la Convención o limitarlos en mayor medida q</w:t>
      </w:r>
      <w:r>
        <w:rPr>
          <w:rFonts w:ascii="Arial Narrow" w:eastAsia="Arial Narrow" w:hAnsi="Arial Narrow" w:cs="Arial Narrow"/>
          <w:color w:val="000000"/>
        </w:rPr>
        <w:t>ue la prevista en ella (…)”.</w:t>
      </w:r>
    </w:p>
    <w:p w:rsidR="00FC7BAA" w:rsidRDefault="00FC7BAA">
      <w:pPr>
        <w:pBdr>
          <w:top w:val="nil"/>
          <w:left w:val="nil"/>
          <w:bottom w:val="nil"/>
          <w:right w:val="nil"/>
          <w:between w:val="nil"/>
        </w:pBdr>
        <w:spacing w:after="0"/>
        <w:ind w:left="720"/>
        <w:jc w:val="both"/>
        <w:rPr>
          <w:rFonts w:ascii="Arial Narrow" w:eastAsia="Arial Narrow" w:hAnsi="Arial Narrow" w:cs="Arial Narrow"/>
          <w:color w:val="000000"/>
        </w:rPr>
      </w:pPr>
    </w:p>
    <w:p w:rsidR="00FC7BAA" w:rsidRDefault="0013018E">
      <w:p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color w:val="000000"/>
        </w:rPr>
        <w:t>Con base a lo anterior la Corte IDH concluyó que en el caso colombiano que “(…) las sanciones de destitución e inhabilitación de funcionarios públicos democráticamente electos por parte de una autoridad administrativa discipli</w:t>
      </w:r>
      <w:r>
        <w:rPr>
          <w:rFonts w:ascii="Arial Narrow" w:eastAsia="Arial Narrow" w:hAnsi="Arial Narrow" w:cs="Arial Narrow"/>
          <w:color w:val="000000"/>
        </w:rPr>
        <w:t>naria, en tanto restricciones a los derechos políticos no contempladas</w:t>
      </w:r>
    </w:p>
    <w:p w:rsidR="00FC7BAA" w:rsidRDefault="0013018E">
      <w:p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color w:val="000000"/>
        </w:rPr>
        <w:t>dentro de aquellas permitidas por la Convención Americana, son incompatibles no solo con la literalidad del artículo 23.2 de la Convención, sino también con el objeto y fin del mismo in</w:t>
      </w:r>
      <w:r>
        <w:rPr>
          <w:rFonts w:ascii="Arial Narrow" w:eastAsia="Arial Narrow" w:hAnsi="Arial Narrow" w:cs="Arial Narrow"/>
          <w:color w:val="000000"/>
        </w:rPr>
        <w:t>strumento”. Argumento que ya había acogido de forma previa a lo resuelto por la Corte IDH el Consejo de Estado</w:t>
      </w:r>
    </w:p>
    <w:p w:rsidR="00FC7BAA" w:rsidRDefault="0013018E">
      <w:p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color w:val="000000"/>
        </w:rPr>
        <w:t>que, en la Sentencia del 15 de noviembre de 2017, en donde se declaró la nulidad de los actos administrativos proferidos por el Procurador Genera</w:t>
      </w:r>
      <w:r>
        <w:rPr>
          <w:rFonts w:ascii="Arial Narrow" w:eastAsia="Arial Narrow" w:hAnsi="Arial Narrow" w:cs="Arial Narrow"/>
          <w:color w:val="000000"/>
        </w:rPr>
        <w:t>l para sancionar al señor Gustavo Petro al considerarlos contrario a la CADH.</w:t>
      </w:r>
    </w:p>
    <w:p w:rsidR="00FC7BAA" w:rsidRDefault="00FC7BAA">
      <w:pPr>
        <w:pBdr>
          <w:top w:val="nil"/>
          <w:left w:val="nil"/>
          <w:bottom w:val="nil"/>
          <w:right w:val="nil"/>
          <w:between w:val="nil"/>
        </w:pBdr>
        <w:spacing w:after="0"/>
        <w:ind w:left="720"/>
        <w:jc w:val="both"/>
        <w:rPr>
          <w:rFonts w:ascii="Arial Narrow" w:eastAsia="Arial Narrow" w:hAnsi="Arial Narrow" w:cs="Arial Narrow"/>
          <w:color w:val="000000"/>
        </w:rPr>
      </w:pPr>
    </w:p>
    <w:p w:rsidR="00FC7BAA" w:rsidRDefault="0013018E">
      <w:p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color w:val="000000"/>
        </w:rPr>
        <w:t>La Corte IDH ordenó al Estado colombiano adecuar su ordenamiento jurídico atendiendo a que, según el artículo 1º convencional “(l)os Estados Partes en esta Convención se comprom</w:t>
      </w:r>
      <w:r>
        <w:rPr>
          <w:rFonts w:ascii="Arial Narrow" w:eastAsia="Arial Narrow" w:hAnsi="Arial Narrow" w:cs="Arial Narrow"/>
          <w:color w:val="000000"/>
        </w:rPr>
        <w:t>eten a respetar los derechos y libertades reconocidos en ella y a garantizar su libre y pleno ejercicio a toda persona que esté sujeta a su jurisdicción”, por lo cual, en el artículo 2º se obliga a los Estados Parte a “(s)i el ejercicio de los derechos y l</w:t>
      </w:r>
      <w:r>
        <w:rPr>
          <w:rFonts w:ascii="Arial Narrow" w:eastAsia="Arial Narrow" w:hAnsi="Arial Narrow" w:cs="Arial Narrow"/>
          <w:color w:val="000000"/>
        </w:rPr>
        <w:t>ibertades mencionados en el artículo 1 no estuviere ya garantizado por disposiciones legislativas o de otro carácter, los Estados Partes se comprometen a adoptar, con arreglo a sus procedimientos constitucionales y a las disposiciones de esta Convención, l</w:t>
      </w:r>
      <w:r>
        <w:rPr>
          <w:rFonts w:ascii="Arial Narrow" w:eastAsia="Arial Narrow" w:hAnsi="Arial Narrow" w:cs="Arial Narrow"/>
          <w:color w:val="000000"/>
        </w:rPr>
        <w:t>as medidas</w:t>
      </w:r>
      <w:r>
        <w:rPr>
          <w:rFonts w:ascii="Arial Narrow" w:eastAsia="Arial Narrow" w:hAnsi="Arial Narrow" w:cs="Arial Narrow"/>
        </w:rPr>
        <w:t xml:space="preserve"> </w:t>
      </w:r>
      <w:r>
        <w:rPr>
          <w:rFonts w:ascii="Arial Narrow" w:eastAsia="Arial Narrow" w:hAnsi="Arial Narrow" w:cs="Arial Narrow"/>
          <w:color w:val="000000"/>
        </w:rPr>
        <w:t>legislativas o de otro carácter que fueren necesarias para hacer efectivos tales derechos y libertades”.</w:t>
      </w:r>
    </w:p>
    <w:p w:rsidR="00FC7BAA" w:rsidRDefault="00FC7BAA">
      <w:pPr>
        <w:pBdr>
          <w:top w:val="nil"/>
          <w:left w:val="nil"/>
          <w:bottom w:val="nil"/>
          <w:right w:val="nil"/>
          <w:between w:val="nil"/>
        </w:pBdr>
        <w:spacing w:after="0"/>
        <w:ind w:left="720"/>
        <w:jc w:val="both"/>
        <w:rPr>
          <w:rFonts w:ascii="Arial Narrow" w:eastAsia="Arial Narrow" w:hAnsi="Arial Narrow" w:cs="Arial Narrow"/>
          <w:color w:val="000000"/>
        </w:rPr>
      </w:pPr>
    </w:p>
    <w:p w:rsidR="00FC7BAA" w:rsidRDefault="0013018E">
      <w:p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color w:val="000000"/>
        </w:rPr>
        <w:t>Es así como Colombia, dando aplicación al principio pacta sunt servanda, consignado en la Convención de Viena sobre los derechos de los Tra</w:t>
      </w:r>
      <w:r>
        <w:rPr>
          <w:rFonts w:ascii="Arial Narrow" w:eastAsia="Arial Narrow" w:hAnsi="Arial Narrow" w:cs="Arial Narrow"/>
          <w:color w:val="000000"/>
        </w:rPr>
        <w:t>tados, en donde se define que “todo tratado en vigor obliga a las partes y debe ser cumplido por ellas de buena fe”, se ve obligado como Estado Parte de la CADH a dar cumplimiento a lo ya mencionado en los artículos 1, 2, 23 y 29 del Pacto de San José, seg</w:t>
      </w:r>
      <w:r>
        <w:rPr>
          <w:rFonts w:ascii="Arial Narrow" w:eastAsia="Arial Narrow" w:hAnsi="Arial Narrow" w:cs="Arial Narrow"/>
          <w:color w:val="000000"/>
        </w:rPr>
        <w:t>ún lo establecido en el fallo de la Corte IDH, de la cual se ha aceptado su competencia según el alcance del artículo 62 convencional que reza que “(l)a Corte tiene competencia para conocer de cualquier caso relativo a la interpretación y aplicación de las</w:t>
      </w:r>
      <w:r>
        <w:rPr>
          <w:rFonts w:ascii="Arial Narrow" w:eastAsia="Arial Narrow" w:hAnsi="Arial Narrow" w:cs="Arial Narrow"/>
          <w:color w:val="000000"/>
        </w:rPr>
        <w:t xml:space="preserve"> disposiciones de esta Convención que le</w:t>
      </w:r>
      <w:r>
        <w:rPr>
          <w:rFonts w:ascii="Arial Narrow" w:eastAsia="Arial Narrow" w:hAnsi="Arial Narrow" w:cs="Arial Narrow"/>
        </w:rPr>
        <w:t xml:space="preserve"> </w:t>
      </w:r>
      <w:r>
        <w:rPr>
          <w:rFonts w:ascii="Arial Narrow" w:eastAsia="Arial Narrow" w:hAnsi="Arial Narrow" w:cs="Arial Narrow"/>
          <w:color w:val="000000"/>
        </w:rPr>
        <w:t>sea sometido, siempre que los Estados Partes en el caso hayan reconocido o reconozcan dicha competencia”. Sobre este asunto de cumplimiento de los tratados ratificados por el Estado colombiano</w:t>
      </w:r>
      <w:r>
        <w:rPr>
          <w:rFonts w:ascii="Arial Narrow" w:eastAsia="Arial Narrow" w:hAnsi="Arial Narrow" w:cs="Arial Narrow"/>
        </w:rPr>
        <w:t xml:space="preserve"> </w:t>
      </w:r>
      <w:r>
        <w:rPr>
          <w:rFonts w:ascii="Arial Narrow" w:eastAsia="Arial Narrow" w:hAnsi="Arial Narrow" w:cs="Arial Narrow"/>
          <w:color w:val="000000"/>
        </w:rPr>
        <w:t>la Corte Constituciona</w:t>
      </w:r>
      <w:r>
        <w:rPr>
          <w:rFonts w:ascii="Arial Narrow" w:eastAsia="Arial Narrow" w:hAnsi="Arial Narrow" w:cs="Arial Narrow"/>
          <w:color w:val="000000"/>
        </w:rPr>
        <w:t>l ha indicado que “(…) constituye la base esencial del derecho de los tratados y, en general, del funcionamiento armónico y pacífico de la comunidad internacional. Por ello, algunos teóricos han considerado que esta norma representa el principio base, la n</w:t>
      </w:r>
      <w:r>
        <w:rPr>
          <w:rFonts w:ascii="Arial Narrow" w:eastAsia="Arial Narrow" w:hAnsi="Arial Narrow" w:cs="Arial Narrow"/>
          <w:color w:val="000000"/>
        </w:rPr>
        <w:t xml:space="preserve">orma fundamental y más elemental de todo el sistema jurídico del derecho internacional, de la cual depende la validez de las reglas de este derecho. Según su criterio, que esta Corte acoge, resulta imposible pensar el derecho internacional como disciplina </w:t>
      </w:r>
      <w:r>
        <w:rPr>
          <w:rFonts w:ascii="Arial Narrow" w:eastAsia="Arial Narrow" w:hAnsi="Arial Narrow" w:cs="Arial Narrow"/>
          <w:color w:val="000000"/>
        </w:rPr>
        <w:t>autónoma sin presuponer una norma como Pacta sunt servanda, por lo</w:t>
      </w:r>
      <w:r>
        <w:rPr>
          <w:rFonts w:ascii="Arial Narrow" w:eastAsia="Arial Narrow" w:hAnsi="Arial Narrow" w:cs="Arial Narrow"/>
        </w:rPr>
        <w:t xml:space="preserve"> </w:t>
      </w:r>
      <w:r>
        <w:rPr>
          <w:rFonts w:ascii="Arial Narrow" w:eastAsia="Arial Narrow" w:hAnsi="Arial Narrow" w:cs="Arial Narrow"/>
          <w:color w:val="000000"/>
        </w:rPr>
        <w:t xml:space="preserve">cual ella es sin lugar a dudas </w:t>
      </w:r>
      <w:r>
        <w:rPr>
          <w:rFonts w:ascii="Arial Narrow" w:eastAsia="Arial Narrow" w:hAnsi="Arial Narrow" w:cs="Arial Narrow"/>
        </w:rPr>
        <w:t>unos de</w:t>
      </w:r>
      <w:r>
        <w:rPr>
          <w:rFonts w:ascii="Arial Narrow" w:eastAsia="Arial Narrow" w:hAnsi="Arial Narrow" w:cs="Arial Narrow"/>
          <w:color w:val="000000"/>
        </w:rPr>
        <w:t xml:space="preserve"> los principios de derecho internacional reconocidos por Colombia (CP art. 9º)”.</w:t>
      </w:r>
    </w:p>
    <w:p w:rsidR="00FC7BAA" w:rsidRDefault="00FC7BAA">
      <w:pPr>
        <w:pBdr>
          <w:top w:val="nil"/>
          <w:left w:val="nil"/>
          <w:bottom w:val="nil"/>
          <w:right w:val="nil"/>
          <w:between w:val="nil"/>
        </w:pBdr>
        <w:spacing w:after="0"/>
        <w:ind w:left="720"/>
        <w:jc w:val="both"/>
        <w:rPr>
          <w:rFonts w:ascii="Arial Narrow" w:eastAsia="Arial Narrow" w:hAnsi="Arial Narrow" w:cs="Arial Narrow"/>
          <w:color w:val="000000"/>
        </w:rPr>
      </w:pPr>
    </w:p>
    <w:p w:rsidR="00FC7BAA" w:rsidRDefault="0013018E">
      <w:p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color w:val="000000"/>
        </w:rPr>
        <w:t>A razón de ello, se reitera que el cumplimiento de lo dispuesto en la</w:t>
      </w:r>
      <w:r>
        <w:rPr>
          <w:rFonts w:ascii="Arial Narrow" w:eastAsia="Arial Narrow" w:hAnsi="Arial Narrow" w:cs="Arial Narrow"/>
          <w:color w:val="000000"/>
        </w:rPr>
        <w:t xml:space="preserve"> Sentencia del caso Petro Urrego vs. Colombia es de obligatorio cumplimiento </w:t>
      </w:r>
      <w:r>
        <w:rPr>
          <w:rFonts w:ascii="Arial Narrow" w:eastAsia="Arial Narrow" w:hAnsi="Arial Narrow" w:cs="Arial Narrow"/>
        </w:rPr>
        <w:t>para Colombia</w:t>
      </w:r>
      <w:r>
        <w:rPr>
          <w:rFonts w:ascii="Arial Narrow" w:eastAsia="Arial Narrow" w:hAnsi="Arial Narrow" w:cs="Arial Narrow"/>
          <w:color w:val="000000"/>
        </w:rPr>
        <w:t>. Al respecto el Consejo de Estado ha indicado que “al ser la Corte IDH un medio de protección y el intérprete autorizado de las normas convenidas en la CADH, sus decisiones tienen efectos vinculantes y de obligatoria observancia para los Estados Partes, d</w:t>
      </w:r>
      <w:r>
        <w:rPr>
          <w:rFonts w:ascii="Arial Narrow" w:eastAsia="Arial Narrow" w:hAnsi="Arial Narrow" w:cs="Arial Narrow"/>
          <w:color w:val="000000"/>
        </w:rPr>
        <w:t xml:space="preserve">e tal manera que ellos están sometidos a verificar que las normas de su ordenamiento jurídico interno sean compatibles con las normas convenidas multilateralmente y que, </w:t>
      </w:r>
      <w:r>
        <w:rPr>
          <w:rFonts w:ascii="Arial Narrow" w:eastAsia="Arial Narrow" w:hAnsi="Arial Narrow" w:cs="Arial Narrow"/>
          <w:color w:val="000000"/>
        </w:rPr>
        <w:lastRenderedPageBreak/>
        <w:t>en caso de que ello no lo sea, se adopten las medidas necesarias para su cumplimiento”</w:t>
      </w:r>
      <w:r>
        <w:rPr>
          <w:rFonts w:ascii="Arial Narrow" w:eastAsia="Arial Narrow" w:hAnsi="Arial Narrow" w:cs="Arial Narrow"/>
          <w:color w:val="000000"/>
        </w:rPr>
        <w:t>. Con lo cual,seguir incumpliendo el fallo no sólo pone entre dicho la tradición de respeto al cumplimiento de las obligaciones internacionales del Estado colombiano, sino que además continuaremos en contradicción</w:t>
      </w:r>
      <w:r>
        <w:rPr>
          <w:rFonts w:ascii="Arial Narrow" w:eastAsia="Arial Narrow" w:hAnsi="Arial Narrow" w:cs="Arial Narrow"/>
        </w:rPr>
        <w:t xml:space="preserve"> </w:t>
      </w:r>
      <w:r>
        <w:rPr>
          <w:rFonts w:ascii="Arial Narrow" w:eastAsia="Arial Narrow" w:hAnsi="Arial Narrow" w:cs="Arial Narrow"/>
          <w:color w:val="000000"/>
        </w:rPr>
        <w:t>con lo dispuesto en el artículo 93 constit</w:t>
      </w:r>
      <w:r>
        <w:rPr>
          <w:rFonts w:ascii="Arial Narrow" w:eastAsia="Arial Narrow" w:hAnsi="Arial Narrow" w:cs="Arial Narrow"/>
          <w:color w:val="000000"/>
        </w:rPr>
        <w:t>ucional que reconoce los tratados en materia de derechos humanos como parte del bloque de constitucionalidad. Sobre lo anteriormente mencionado, la Corte Constitucional adiciona mencionando que “en la medida en que la Carta señala en el artículo 93 que los</w:t>
      </w:r>
      <w:r>
        <w:rPr>
          <w:rFonts w:ascii="Arial Narrow" w:eastAsia="Arial Narrow" w:hAnsi="Arial Narrow" w:cs="Arial Narrow"/>
          <w:color w:val="000000"/>
        </w:rPr>
        <w:t xml:space="preserve"> derechos y deberes constitucionales deben interpretarse “de conformidad con los tratados internacionales sobre derechos humanos ratificados por Colombia”, es indudable que la jurisprudencia</w:t>
      </w:r>
      <w:r>
        <w:rPr>
          <w:rFonts w:ascii="Arial Narrow" w:eastAsia="Arial Narrow" w:hAnsi="Arial Narrow" w:cs="Arial Narrow"/>
        </w:rPr>
        <w:t xml:space="preserve"> </w:t>
      </w:r>
      <w:r>
        <w:rPr>
          <w:rFonts w:ascii="Arial Narrow" w:eastAsia="Arial Narrow" w:hAnsi="Arial Narrow" w:cs="Arial Narrow"/>
          <w:color w:val="000000"/>
        </w:rPr>
        <w:t>de las instancias internacionales, encargadas de interpretar esos</w:t>
      </w:r>
      <w:r>
        <w:rPr>
          <w:rFonts w:ascii="Arial Narrow" w:eastAsia="Arial Narrow" w:hAnsi="Arial Narrow" w:cs="Arial Narrow"/>
          <w:color w:val="000000"/>
        </w:rPr>
        <w:t xml:space="preserve"> tratados, constituye un criterio hermenéutico relevante para establecer el sentido de las normas constitucionales sobre derechos fundamentales</w:t>
      </w:r>
      <w:r>
        <w:rPr>
          <w:rFonts w:ascii="Arial Narrow" w:eastAsia="Arial Narrow" w:hAnsi="Arial Narrow" w:cs="Arial Narrow"/>
          <w:color w:val="000000"/>
          <w:vertAlign w:val="superscript"/>
        </w:rPr>
        <w:footnoteReference w:id="2"/>
      </w:r>
      <w:r>
        <w:rPr>
          <w:rFonts w:ascii="Arial Narrow" w:eastAsia="Arial Narrow" w:hAnsi="Arial Narrow" w:cs="Arial Narrow"/>
          <w:color w:val="000000"/>
        </w:rPr>
        <w:t>”.</w:t>
      </w:r>
    </w:p>
    <w:p w:rsidR="00FC7BAA" w:rsidRDefault="00FC7BAA">
      <w:pPr>
        <w:pBdr>
          <w:top w:val="nil"/>
          <w:left w:val="nil"/>
          <w:bottom w:val="nil"/>
          <w:right w:val="nil"/>
          <w:between w:val="nil"/>
        </w:pBdr>
        <w:spacing w:after="0"/>
        <w:ind w:left="720"/>
        <w:jc w:val="both"/>
        <w:rPr>
          <w:rFonts w:ascii="Arial Narrow" w:eastAsia="Arial Narrow" w:hAnsi="Arial Narrow" w:cs="Arial Narrow"/>
          <w:b/>
          <w:color w:val="000000"/>
        </w:rPr>
      </w:pPr>
    </w:p>
    <w:p w:rsidR="00FC7BAA" w:rsidRDefault="0013018E">
      <w:pPr>
        <w:numPr>
          <w:ilvl w:val="0"/>
          <w:numId w:val="3"/>
        </w:num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JURISPRUDENCIA A LA LUZ DEL CASO PETRO URREGO VS COLOMBIA.</w:t>
      </w:r>
    </w:p>
    <w:p w:rsidR="00FC7BAA" w:rsidRDefault="0013018E">
      <w:pPr>
        <w:ind w:left="360"/>
        <w:jc w:val="both"/>
        <w:rPr>
          <w:rFonts w:ascii="Arial Narrow" w:eastAsia="Arial Narrow" w:hAnsi="Arial Narrow" w:cs="Arial Narrow"/>
          <w:b/>
          <w:color w:val="000000"/>
        </w:rPr>
      </w:pPr>
      <w:r>
        <w:rPr>
          <w:rFonts w:ascii="Arial Narrow" w:eastAsia="Arial Narrow" w:hAnsi="Arial Narrow" w:cs="Arial Narrow"/>
          <w:b/>
          <w:color w:val="000000"/>
        </w:rPr>
        <w:t xml:space="preserve">Sentencia C- 030 DEL 2023: </w:t>
      </w:r>
      <w:r>
        <w:rPr>
          <w:rFonts w:ascii="Arial Narrow" w:eastAsia="Arial Narrow" w:hAnsi="Arial Narrow" w:cs="Arial Narrow"/>
          <w:color w:val="000000"/>
        </w:rPr>
        <w:t>La Corte Constitucional analizó la demanda de inconstitucionalidad instaurada hacia el inciso 2 del artículo 1° de la ley 2094 del 2021, que para efectos de la decisión se extendió a los artículos 13°, 16°, 17°, 54°, 73°, 74° conforme al principio de la in</w:t>
      </w:r>
      <w:r>
        <w:rPr>
          <w:rFonts w:ascii="Arial Narrow" w:eastAsia="Arial Narrow" w:hAnsi="Arial Narrow" w:cs="Arial Narrow"/>
          <w:color w:val="000000"/>
        </w:rPr>
        <w:t xml:space="preserve">tegración de unidad normativa, debido a que dichos apartes hacen referencia al ejercicio de funciones jurisdiccionales otorgadas a la Procuraduría General de la Nación. </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En el artículo 1°, se le atribuye potestades jurisdiccionales a la PGN para vigilar la</w:t>
      </w:r>
      <w:r>
        <w:rPr>
          <w:rFonts w:ascii="Arial Narrow" w:eastAsia="Arial Narrow" w:hAnsi="Arial Narrow" w:cs="Arial Narrow"/>
          <w:color w:val="000000"/>
        </w:rPr>
        <w:t xml:space="preserve"> conducta de quienes </w:t>
      </w:r>
      <w:r>
        <w:rPr>
          <w:rFonts w:ascii="Arial Narrow" w:eastAsia="Arial Narrow" w:hAnsi="Arial Narrow" w:cs="Arial Narrow"/>
        </w:rPr>
        <w:t>desempeñen</w:t>
      </w:r>
      <w:r>
        <w:rPr>
          <w:rFonts w:ascii="Arial Narrow" w:eastAsia="Arial Narrow" w:hAnsi="Arial Narrow" w:cs="Arial Narrow"/>
          <w:color w:val="000000"/>
        </w:rPr>
        <w:t xml:space="preserve"> cargos públicos, incluidos los elegidos por voto popular, a la vez que la faculta para imponer sanciones de destitución, suspensión e inhabilidad, las cuales pueden ser revisadas por la jurisdicción contencioso-administrativ</w:t>
      </w:r>
      <w:r>
        <w:rPr>
          <w:rFonts w:ascii="Arial Narrow" w:eastAsia="Arial Narrow" w:hAnsi="Arial Narrow" w:cs="Arial Narrow"/>
          <w:color w:val="000000"/>
        </w:rPr>
        <w:t>a. Además de establecer que la ejecución de las sanciones para servidores elegidos se condiciona a la decisión de la autoridad judicial. El artículo 13° le asigna a la Procuraduría la facultad para investigar y juzgar faltas disciplinarias de los servidore</w:t>
      </w:r>
      <w:r>
        <w:rPr>
          <w:rFonts w:ascii="Arial Narrow" w:eastAsia="Arial Narrow" w:hAnsi="Arial Narrow" w:cs="Arial Narrow"/>
          <w:color w:val="000000"/>
        </w:rPr>
        <w:t>s públicos de elección popular. Los artículos 16° y 17° regulan la conformación de las salas disciplinarias para juzgar dichos servidores como el alcalde de Bogotá. El artículo 54° establece el recurso extraordinario de revisión contra sanciones definitiva</w:t>
      </w:r>
      <w:r>
        <w:rPr>
          <w:rFonts w:ascii="Arial Narrow" w:eastAsia="Arial Narrow" w:hAnsi="Arial Narrow" w:cs="Arial Narrow"/>
          <w:color w:val="000000"/>
        </w:rPr>
        <w:t>s de la PGN en su función disciplinaria jurisdiccional. Los artículos 73° y 74° regulan la entrada en vigor de las funciones jurisdiccionales.</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 xml:space="preserve">La Corte reiteró que, si bien ya se contaba con una línea jurisprudencial del tema, a causa de la adopción de un </w:t>
      </w:r>
      <w:r>
        <w:rPr>
          <w:rFonts w:ascii="Arial Narrow" w:eastAsia="Arial Narrow" w:hAnsi="Arial Narrow" w:cs="Arial Narrow"/>
          <w:color w:val="000000"/>
        </w:rPr>
        <w:t>nuevo modelo disciplinario y cambios en los precedentes nacionales e internacionales sobre la protección del derecho político a elegir y ser elegido como es la sentencia del caso Petro Urrego vs Colombia, esta demanda no se encuentra enmarcada en el princi</w:t>
      </w:r>
      <w:r>
        <w:rPr>
          <w:rFonts w:ascii="Arial Narrow" w:eastAsia="Arial Narrow" w:hAnsi="Arial Narrow" w:cs="Arial Narrow"/>
          <w:color w:val="000000"/>
        </w:rPr>
        <w:t>pio de cosa juzgada, justificando así su revisión.</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Se abordó el análisis del contenido demandado, específicamente en los tres cargos formulados: la vulneración del artículo 116 de la Constitución, la vulneración de los artículos 93 de la Constitución Polít</w:t>
      </w:r>
      <w:r>
        <w:rPr>
          <w:rFonts w:ascii="Arial Narrow" w:eastAsia="Arial Narrow" w:hAnsi="Arial Narrow" w:cs="Arial Narrow"/>
          <w:color w:val="000000"/>
        </w:rPr>
        <w:t xml:space="preserve">ica y 23.2 de la Convención Americana sobre Derechos Humanos, y la vulneración de los artículos 29 de la Constitución Política y 8º de la CADH. </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Respecto al primer cargo, después de una minuciosa revisión del artículo 116° donde se establece que excepciona</w:t>
      </w:r>
      <w:r>
        <w:rPr>
          <w:rFonts w:ascii="Arial Narrow" w:eastAsia="Arial Narrow" w:hAnsi="Arial Narrow" w:cs="Arial Narrow"/>
          <w:color w:val="000000"/>
        </w:rPr>
        <w:t>lmente la ley podrá atribuir competencia jurisdiccional en materias precisas a determinadas autoridades administrativas, la corte determinó que las expresiones “jurisdiccionales” y “jurisdiccional” presente en los artículos 1°, 54°, 73° y 74° de la ley ana</w:t>
      </w:r>
      <w:r>
        <w:rPr>
          <w:rFonts w:ascii="Arial Narrow" w:eastAsia="Arial Narrow" w:hAnsi="Arial Narrow" w:cs="Arial Narrow"/>
          <w:color w:val="000000"/>
        </w:rPr>
        <w:t xml:space="preserve">lizada no cumplen con los supuestos constitucionales y  jurisprudenciales conforme a  los cuales el legislador puede asignar dichas </w:t>
      </w:r>
      <w:r>
        <w:rPr>
          <w:rFonts w:ascii="Arial Narrow" w:eastAsia="Arial Narrow" w:hAnsi="Arial Narrow" w:cs="Arial Narrow"/>
          <w:color w:val="000000"/>
        </w:rPr>
        <w:lastRenderedPageBreak/>
        <w:t xml:space="preserve">competencias a órganos administrativos, en la medida en que lo expuesto no satisface  el requisito fundamental enmarcado en </w:t>
      </w:r>
      <w:r>
        <w:rPr>
          <w:rFonts w:ascii="Arial Narrow" w:eastAsia="Arial Narrow" w:hAnsi="Arial Narrow" w:cs="Arial Narrow"/>
          <w:color w:val="000000"/>
        </w:rPr>
        <w:t>el inciso 3 del artículo 116° de la Constitución basado en que el otorgamiento mencionado debe  corresponder a la transferencia de competencias originalmente asignadas a los jueces, además, de que dicha atribución no busca descongestionar los despachos jud</w:t>
      </w:r>
      <w:r>
        <w:rPr>
          <w:rFonts w:ascii="Arial Narrow" w:eastAsia="Arial Narrow" w:hAnsi="Arial Narrow" w:cs="Arial Narrow"/>
          <w:color w:val="000000"/>
        </w:rPr>
        <w:t xml:space="preserve">iciales y hacer más eficiente la administración de justicia,  esto en razón de que la potestad disciplinaria que realiza la Procuraduría no </w:t>
      </w:r>
      <w:r>
        <w:rPr>
          <w:rFonts w:ascii="Arial Narrow" w:eastAsia="Arial Narrow" w:hAnsi="Arial Narrow" w:cs="Arial Narrow"/>
        </w:rPr>
        <w:t>hacía</w:t>
      </w:r>
      <w:r>
        <w:rPr>
          <w:rFonts w:ascii="Arial Narrow" w:eastAsia="Arial Narrow" w:hAnsi="Arial Narrow" w:cs="Arial Narrow"/>
          <w:color w:val="000000"/>
        </w:rPr>
        <w:t xml:space="preserve"> parte de la Rama judicial, sino que siempre había sido ejercida por la misma, de conformidad con  los artículo</w:t>
      </w:r>
      <w:r>
        <w:rPr>
          <w:rFonts w:ascii="Arial Narrow" w:eastAsia="Arial Narrow" w:hAnsi="Arial Narrow" w:cs="Arial Narrow"/>
          <w:color w:val="000000"/>
        </w:rPr>
        <w:t xml:space="preserve"> 118, 277.6 y 278,1 de la Carta, por lo cual lo único que ocurrió fue un cambio de etiqueta de las funciones. Sumado a esto, se resalta que estas atribuciones no cumplen con el mandato de definición “puntuales, fijas y ciertas” mencionado en la sentencia C</w:t>
      </w:r>
      <w:r>
        <w:rPr>
          <w:rFonts w:ascii="Arial Narrow" w:eastAsia="Arial Narrow" w:hAnsi="Arial Narrow" w:cs="Arial Narrow"/>
          <w:color w:val="000000"/>
        </w:rPr>
        <w:t>-156/2013, ya que la asignación de la competencia jurisdiccional a la PGN se hizo para todas las facultades propias de la potestad disciplinaria administrativa. Por lo que esta atribución es una excepción demasiado amplia, que da como resultado la inexequi</w:t>
      </w:r>
      <w:r>
        <w:rPr>
          <w:rFonts w:ascii="Arial Narrow" w:eastAsia="Arial Narrow" w:hAnsi="Arial Narrow" w:cs="Arial Narrow"/>
          <w:color w:val="000000"/>
        </w:rPr>
        <w:t>bilidad de las expresiones estudiadas.</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En lo referente al segundo cargo, estudiando la sentencia del caso Petro Urrego vs Colombia, la Corte menciona que se debe realizar una interpretación armónica y dialógica del artículo 23,2 de la CADH comprendiendo la</w:t>
      </w:r>
      <w:r>
        <w:rPr>
          <w:rFonts w:ascii="Arial Narrow" w:eastAsia="Arial Narrow" w:hAnsi="Arial Narrow" w:cs="Arial Narrow"/>
          <w:color w:val="000000"/>
        </w:rPr>
        <w:t xml:space="preserve"> naturaleza del bloque de constitucionalidad, por lo que la Sala interpreta que la restricción o limitación temporal o definitiva del derecho a ser elegido para un servidor público de elección popular tiene reserva judicial,  es decir, que solo puede ser d</w:t>
      </w:r>
      <w:r>
        <w:rPr>
          <w:rFonts w:ascii="Arial Narrow" w:eastAsia="Arial Narrow" w:hAnsi="Arial Narrow" w:cs="Arial Narrow"/>
          <w:color w:val="000000"/>
        </w:rPr>
        <w:t>eterminada por un juez de la República, salvo excepciones constitucionales como las que se dan al Presidente de la República para destituir a los gobernadores según el artículo 304 de la Carta.</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Asimismo, al estudiar el artículo 278.1 de la Constitución don</w:t>
      </w:r>
      <w:r>
        <w:rPr>
          <w:rFonts w:ascii="Arial Narrow" w:eastAsia="Arial Narrow" w:hAnsi="Arial Narrow" w:cs="Arial Narrow"/>
          <w:color w:val="000000"/>
        </w:rPr>
        <w:t>de se menciona la competencia exclusiva e indelegable del procurador de imponer las sanciones de desvinculación del funcionario público cuando incurra en las faltas disciplinarias allí previstas, la Corte considera dicha competencia se debe ajustar a la re</w:t>
      </w:r>
      <w:r>
        <w:rPr>
          <w:rFonts w:ascii="Arial Narrow" w:eastAsia="Arial Narrow" w:hAnsi="Arial Narrow" w:cs="Arial Narrow"/>
          <w:color w:val="000000"/>
        </w:rPr>
        <w:t xml:space="preserve">serva judicial </w:t>
      </w:r>
      <w:r>
        <w:rPr>
          <w:rFonts w:ascii="Arial Narrow" w:eastAsia="Arial Narrow" w:hAnsi="Arial Narrow" w:cs="Arial Narrow"/>
        </w:rPr>
        <w:t>mencionada</w:t>
      </w:r>
      <w:r>
        <w:rPr>
          <w:rFonts w:ascii="Arial Narrow" w:eastAsia="Arial Narrow" w:hAnsi="Arial Narrow" w:cs="Arial Narrow"/>
          <w:color w:val="000000"/>
        </w:rPr>
        <w:t xml:space="preserve"> anteriormente.</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 xml:space="preserve">A pesar de esto, según la Sala el artículo 1° de la ley 2094 del 2021 no entraría en contradicción con el artículo </w:t>
      </w:r>
      <w:r>
        <w:rPr>
          <w:rFonts w:ascii="Arial Narrow" w:eastAsia="Arial Narrow" w:hAnsi="Arial Narrow" w:cs="Arial Narrow"/>
        </w:rPr>
        <w:t>23.2</w:t>
      </w:r>
      <w:r>
        <w:rPr>
          <w:rFonts w:ascii="Arial Narrow" w:eastAsia="Arial Narrow" w:hAnsi="Arial Narrow" w:cs="Arial Narrow"/>
          <w:color w:val="000000"/>
        </w:rPr>
        <w:t xml:space="preserve"> de la CADH y el 93 de la Constitución, en la medida en que se garantiza la reserva judicial para la imposición definitiva de las sanciones a los servidores elegidos por voto popular mediante la intervención del juez de lo contencioso administrativo, en ta</w:t>
      </w:r>
      <w:r>
        <w:rPr>
          <w:rFonts w:ascii="Arial Narrow" w:eastAsia="Arial Narrow" w:hAnsi="Arial Narrow" w:cs="Arial Narrow"/>
          <w:color w:val="000000"/>
        </w:rPr>
        <w:t>nto el legislador adopta las medidas concernientes al cumplimiento del estándar..</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En lo referente al tercer cargo, la Corte ha mencionado que el derecho al debido proceso se extiende a las actuaciones administrativas. Agregando que el juez natural funge co</w:t>
      </w:r>
      <w:r>
        <w:rPr>
          <w:rFonts w:ascii="Arial Narrow" w:eastAsia="Arial Narrow" w:hAnsi="Arial Narrow" w:cs="Arial Narrow"/>
          <w:color w:val="000000"/>
        </w:rPr>
        <w:t xml:space="preserve">mo una garantía de este derecho, siendo designado por la constitución para </w:t>
      </w:r>
      <w:r>
        <w:rPr>
          <w:rFonts w:ascii="Arial Narrow" w:eastAsia="Arial Narrow" w:hAnsi="Arial Narrow" w:cs="Arial Narrow"/>
        </w:rPr>
        <w:t>evitar</w:t>
      </w:r>
      <w:r>
        <w:rPr>
          <w:rFonts w:ascii="Arial Narrow" w:eastAsia="Arial Narrow" w:hAnsi="Arial Narrow" w:cs="Arial Narrow"/>
          <w:color w:val="000000"/>
        </w:rPr>
        <w:t xml:space="preserve"> tribunales de excepción y </w:t>
      </w:r>
      <w:r>
        <w:rPr>
          <w:rFonts w:ascii="Arial Narrow" w:eastAsia="Arial Narrow" w:hAnsi="Arial Narrow" w:cs="Arial Narrow"/>
        </w:rPr>
        <w:t>asegurar</w:t>
      </w:r>
      <w:r>
        <w:rPr>
          <w:rFonts w:ascii="Arial Narrow" w:eastAsia="Arial Narrow" w:hAnsi="Arial Narrow" w:cs="Arial Narrow"/>
          <w:color w:val="000000"/>
        </w:rPr>
        <w:t xml:space="preserve"> un juicio imparcial.</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 xml:space="preserve">En concordancia con lo mencionado, la Corte declaró inexequible la expresión “ejecutoriadas” contenida en el artículo </w:t>
      </w:r>
      <w:r>
        <w:rPr>
          <w:rFonts w:ascii="Arial Narrow" w:eastAsia="Arial Narrow" w:hAnsi="Arial Narrow" w:cs="Arial Narrow"/>
          <w:color w:val="000000"/>
        </w:rPr>
        <w:t xml:space="preserve">54 de la ley 2094 de 2021, toda vez que este mencionaba que el recurso extraordinario de revisión procede contra las decisiones sancionatorias ejecutoriadas dictadas por la PGN. Recordando que las sanciones definitivas </w:t>
      </w:r>
      <w:r>
        <w:rPr>
          <w:rFonts w:ascii="Arial Narrow" w:eastAsia="Arial Narrow" w:hAnsi="Arial Narrow" w:cs="Arial Narrow"/>
        </w:rPr>
        <w:t>sólo</w:t>
      </w:r>
      <w:r>
        <w:rPr>
          <w:rFonts w:ascii="Arial Narrow" w:eastAsia="Arial Narrow" w:hAnsi="Arial Narrow" w:cs="Arial Narrow"/>
          <w:color w:val="000000"/>
        </w:rPr>
        <w:t xml:space="preserve"> pueden ser impuestas por un juez</w:t>
      </w:r>
      <w:r>
        <w:rPr>
          <w:rFonts w:ascii="Arial Narrow" w:eastAsia="Arial Narrow" w:hAnsi="Arial Narrow" w:cs="Arial Narrow"/>
          <w:color w:val="000000"/>
        </w:rPr>
        <w:t xml:space="preserve"> conforme al debido proceso y la garantía del juez natural.</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Se debe mencionar que en línea con lo decidido la Corte aseguró que el recurso extraordinario de revisión contemplado en la ley, que incluye la intervención del juez contencioso administrativo, se</w:t>
      </w:r>
      <w:r>
        <w:rPr>
          <w:rFonts w:ascii="Arial Narrow" w:eastAsia="Arial Narrow" w:hAnsi="Arial Narrow" w:cs="Arial Narrow"/>
          <w:color w:val="000000"/>
        </w:rPr>
        <w:t xml:space="preserve"> ajusta a la garantía del juez natural, sin embargo, es esta misma la que precisará bajo qué efectos puede entenderse como constitucional.</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En materia de la decisión, la Corte hace alusión a los remedios constitucionales, explicando que la sentencia C-233 d</w:t>
      </w:r>
      <w:r>
        <w:rPr>
          <w:rFonts w:ascii="Arial Narrow" w:eastAsia="Arial Narrow" w:hAnsi="Arial Narrow" w:cs="Arial Narrow"/>
          <w:color w:val="000000"/>
        </w:rPr>
        <w:t xml:space="preserve">e 2021 argumentó que los fallos modulados, dentro de los cuales se agrupan las sentencias interpretativas, integradoras y aditivas, integran el contenido de las leyes y deben ser aplicados </w:t>
      </w:r>
      <w:r>
        <w:rPr>
          <w:rFonts w:ascii="Arial Narrow" w:eastAsia="Arial Narrow" w:hAnsi="Arial Narrow" w:cs="Arial Narrow"/>
          <w:color w:val="000000"/>
        </w:rPr>
        <w:lastRenderedPageBreak/>
        <w:t xml:space="preserve">por los operadores jurídicos.  Siendo empleadas en múltiples casos </w:t>
      </w:r>
      <w:r>
        <w:rPr>
          <w:rFonts w:ascii="Arial Narrow" w:eastAsia="Arial Narrow" w:hAnsi="Arial Narrow" w:cs="Arial Narrow"/>
          <w:color w:val="000000"/>
        </w:rPr>
        <w:t>para remediar las dificultades constitucionales de las normas demandadas.  En el presente caso, la corte determinó que la decisión de una inexequibilidad simple no sería propicia ya que podría crear vacíos normativos y obstaculizar el deber del Estado, por</w:t>
      </w:r>
      <w:r>
        <w:rPr>
          <w:rFonts w:ascii="Arial Narrow" w:eastAsia="Arial Narrow" w:hAnsi="Arial Narrow" w:cs="Arial Narrow"/>
          <w:color w:val="000000"/>
        </w:rPr>
        <w:t xml:space="preserve"> lo cual, una sentencia integradora es fundamental y oportuna para compatibilizar la estructura institucional constitucional y legal con los principios superiores en conflicto. </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Ahora bien, la Corte entró a estudiar si el recurso extraordinario de revisión</w:t>
      </w:r>
      <w:r>
        <w:rPr>
          <w:rFonts w:ascii="Arial Narrow" w:eastAsia="Arial Narrow" w:hAnsi="Arial Narrow" w:cs="Arial Narrow"/>
          <w:color w:val="000000"/>
        </w:rPr>
        <w:t xml:space="preserve"> tal y como lo estipula el artículo 54° de ley es un instrumento idóneo que garantiza que la sanción disciplinaria sea definitivamente impuesta por un juez, encontrando que el recurso salvaguarda el debido proceso al otorgar al sancionado un rango de 30 dí</w:t>
      </w:r>
      <w:r>
        <w:rPr>
          <w:rFonts w:ascii="Arial Narrow" w:eastAsia="Arial Narrow" w:hAnsi="Arial Narrow" w:cs="Arial Narrow"/>
          <w:color w:val="000000"/>
        </w:rPr>
        <w:t xml:space="preserve">as siguientes a la decisión para controvertir la legalidad de la sanción impuesta. Asimismo, en el caso de los servidores electos por voto popular, el trámite de la revisión suspende la ejecución de la decisión impuesta por la PGN hasta que el juez falle. </w:t>
      </w:r>
      <w:r>
        <w:rPr>
          <w:rFonts w:ascii="Arial Narrow" w:eastAsia="Arial Narrow" w:hAnsi="Arial Narrow" w:cs="Arial Narrow"/>
          <w:color w:val="000000"/>
        </w:rPr>
        <w:t>Sin embargo, se presentan ciertas limitaciones, primero es de carácter rogado, por lo cual, si no se interpone, no habría intervención judicial; segundo, al ser extraordinario, solo se podrá interponer conforme a las causales del artículo 56 de la ley en c</w:t>
      </w:r>
      <w:r>
        <w:rPr>
          <w:rFonts w:ascii="Arial Narrow" w:eastAsia="Arial Narrow" w:hAnsi="Arial Narrow" w:cs="Arial Narrow"/>
          <w:color w:val="000000"/>
        </w:rPr>
        <w:t>uestión, limitando el derecho a la defensa; tercero, la revisión no ordena un examen integral de la decisión proferida por la PGN con miras a interferencias indebidas en los derechos políticos.</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 xml:space="preserve">En este sentido, la Corte emite una sentencia moduladora para </w:t>
      </w:r>
      <w:r>
        <w:rPr>
          <w:rFonts w:ascii="Arial Narrow" w:eastAsia="Arial Narrow" w:hAnsi="Arial Narrow" w:cs="Arial Narrow"/>
          <w:color w:val="000000"/>
        </w:rPr>
        <w:t xml:space="preserve">los efectos normativos del recurso estudiado, de tal forma que este sea obligatorio, </w:t>
      </w:r>
      <w:r>
        <w:rPr>
          <w:rFonts w:ascii="Arial Narrow" w:eastAsia="Arial Narrow" w:hAnsi="Arial Narrow" w:cs="Arial Narrow"/>
        </w:rPr>
        <w:t>ordinario, automático</w:t>
      </w:r>
      <w:r>
        <w:rPr>
          <w:rFonts w:ascii="Arial Narrow" w:eastAsia="Arial Narrow" w:hAnsi="Arial Narrow" w:cs="Arial Narrow"/>
          <w:color w:val="000000"/>
        </w:rPr>
        <w:t xml:space="preserve"> e </w:t>
      </w:r>
      <w:r>
        <w:rPr>
          <w:rFonts w:ascii="Arial Narrow" w:eastAsia="Arial Narrow" w:hAnsi="Arial Narrow" w:cs="Arial Narrow"/>
        </w:rPr>
        <w:t>inmediato</w:t>
      </w:r>
      <w:r>
        <w:rPr>
          <w:rFonts w:ascii="Arial Narrow" w:eastAsia="Arial Narrow" w:hAnsi="Arial Narrow" w:cs="Arial Narrow"/>
          <w:color w:val="000000"/>
        </w:rPr>
        <w:t xml:space="preserve">. Además, </w:t>
      </w:r>
      <w:r>
        <w:rPr>
          <w:rFonts w:ascii="Arial Narrow" w:eastAsia="Arial Narrow" w:hAnsi="Arial Narrow" w:cs="Arial Narrow"/>
        </w:rPr>
        <w:t>se</w:t>
      </w:r>
      <w:r>
        <w:rPr>
          <w:rFonts w:ascii="Arial Narrow" w:eastAsia="Arial Narrow" w:hAnsi="Arial Narrow" w:cs="Arial Narrow"/>
          <w:color w:val="000000"/>
        </w:rPr>
        <w:t xml:space="preserve"> </w:t>
      </w:r>
      <w:r>
        <w:rPr>
          <w:rFonts w:ascii="Arial Narrow" w:eastAsia="Arial Narrow" w:hAnsi="Arial Narrow" w:cs="Arial Narrow"/>
        </w:rPr>
        <w:t>establece</w:t>
      </w:r>
      <w:r>
        <w:rPr>
          <w:rFonts w:ascii="Arial Narrow" w:eastAsia="Arial Narrow" w:hAnsi="Arial Narrow" w:cs="Arial Narrow"/>
          <w:color w:val="000000"/>
        </w:rPr>
        <w:t xml:space="preserve"> que el juez debe hacer un examen integral de la actuación de la PGN que vaya más allá de la corrección de la legali</w:t>
      </w:r>
      <w:r>
        <w:rPr>
          <w:rFonts w:ascii="Arial Narrow" w:eastAsia="Arial Narrow" w:hAnsi="Arial Narrow" w:cs="Arial Narrow"/>
          <w:color w:val="000000"/>
        </w:rPr>
        <w:t xml:space="preserve">dad. Sumado al hecho de que las sanciones de destitución, suspensión e inhabilidad no podrán ser definitivas sin la intervención de un juez y que las decisiones proferidas por dicho juez podrán ser impugnadas mediante los recursos de ley consagrados en el </w:t>
      </w:r>
      <w:r>
        <w:rPr>
          <w:rFonts w:ascii="Arial Narrow" w:eastAsia="Arial Narrow" w:hAnsi="Arial Narrow" w:cs="Arial Narrow"/>
          <w:color w:val="000000"/>
        </w:rPr>
        <w:t>CPACA.</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Es menester resaltar que la Corte con esta decisión cambia el precedente contenido en la sentencia C-146 del 2021 en virtud de la mutación del contexto normativo a la luz del fallo del caso Petro vs Colombia. Asimismo, precisó que la decisión adopta</w:t>
      </w:r>
      <w:r>
        <w:rPr>
          <w:rFonts w:ascii="Arial Narrow" w:eastAsia="Arial Narrow" w:hAnsi="Arial Narrow" w:cs="Arial Narrow"/>
          <w:color w:val="000000"/>
        </w:rPr>
        <w:t xml:space="preserve">da en la sentencia integradora es de carácter temporal y </w:t>
      </w:r>
      <w:r>
        <w:rPr>
          <w:rFonts w:ascii="Arial Narrow" w:eastAsia="Arial Narrow" w:hAnsi="Arial Narrow" w:cs="Arial Narrow"/>
          <w:b/>
          <w:i/>
          <w:color w:val="000000"/>
          <w:u w:val="single"/>
        </w:rPr>
        <w:t>exhortó al Congreso de la República para que en el menor tiempo posible adopte un estatuto aplicable a los servidores de elección popular, dejando en su libertad configuradora la facultad de establec</w:t>
      </w:r>
      <w:r>
        <w:rPr>
          <w:rFonts w:ascii="Arial Narrow" w:eastAsia="Arial Narrow" w:hAnsi="Arial Narrow" w:cs="Arial Narrow"/>
          <w:b/>
          <w:i/>
          <w:color w:val="000000"/>
          <w:u w:val="single"/>
        </w:rPr>
        <w:t>er que la PGN instruya y acuse a estos servidores ante un juez de la república, función que puede ser atribuida a un juez penal.</w:t>
      </w:r>
      <w:r>
        <w:rPr>
          <w:rFonts w:ascii="Arial Narrow" w:eastAsia="Arial Narrow" w:hAnsi="Arial Narrow" w:cs="Arial Narrow"/>
          <w:color w:val="000000"/>
        </w:rPr>
        <w:t xml:space="preserve"> </w:t>
      </w:r>
    </w:p>
    <w:p w:rsidR="00FC7BAA" w:rsidRDefault="00FC7BAA">
      <w:pPr>
        <w:ind w:left="360"/>
        <w:jc w:val="both"/>
        <w:rPr>
          <w:rFonts w:ascii="Arial Narrow" w:eastAsia="Arial Narrow" w:hAnsi="Arial Narrow" w:cs="Arial Narrow"/>
          <w:color w:val="000000"/>
        </w:rPr>
      </w:pPr>
    </w:p>
    <w:p w:rsidR="00FC7BAA" w:rsidRDefault="0013018E">
      <w:pPr>
        <w:numPr>
          <w:ilvl w:val="0"/>
          <w:numId w:val="3"/>
        </w:num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CONSIDERACIONES FINALES</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Reiterando lo mencionado por la misma Corte IDH en el informe de cumplimiento de la sentencia del cas</w:t>
      </w:r>
      <w:r>
        <w:rPr>
          <w:rFonts w:ascii="Arial Narrow" w:eastAsia="Arial Narrow" w:hAnsi="Arial Narrow" w:cs="Arial Narrow"/>
          <w:color w:val="000000"/>
        </w:rPr>
        <w:t xml:space="preserve">o Petro Urrego vs. Colombia, se identifica que el Estado no ha dado cumplimiento a lo ordenado por el tribunal internacional con lo dispuesto en la Ley 2094 de 2021 y con lo ahora </w:t>
      </w:r>
      <w:r>
        <w:rPr>
          <w:rFonts w:ascii="Arial Narrow" w:eastAsia="Arial Narrow" w:hAnsi="Arial Narrow" w:cs="Arial Narrow"/>
        </w:rPr>
        <w:t>resultó</w:t>
      </w:r>
      <w:r>
        <w:rPr>
          <w:rFonts w:ascii="Arial Narrow" w:eastAsia="Arial Narrow" w:hAnsi="Arial Narrow" w:cs="Arial Narrow"/>
          <w:color w:val="000000"/>
        </w:rPr>
        <w:t xml:space="preserve"> en la Sentencia C-030 de 2023 que sigue sin reconocer plenamente lo </w:t>
      </w:r>
      <w:r>
        <w:rPr>
          <w:rFonts w:ascii="Arial Narrow" w:eastAsia="Arial Narrow" w:hAnsi="Arial Narrow" w:cs="Arial Narrow"/>
          <w:color w:val="000000"/>
        </w:rPr>
        <w:t>dispuesto en el artículo 23.2 convencional, así como lo indicado en los artículos 1, 2 y 29 de la CADH. Por esta razón, es necesario hacer la adecuación constitucional para que la restricción de derechos políticos sea por una sentencia expedida por un juez</w:t>
      </w:r>
      <w:r>
        <w:rPr>
          <w:rFonts w:ascii="Arial Narrow" w:eastAsia="Arial Narrow" w:hAnsi="Arial Narrow" w:cs="Arial Narrow"/>
          <w:color w:val="000000"/>
        </w:rPr>
        <w:t xml:space="preserve"> competente en el marco de un proceso penal.</w:t>
      </w:r>
    </w:p>
    <w:p w:rsidR="00FC7BAA" w:rsidRDefault="0013018E">
      <w:pPr>
        <w:ind w:left="360"/>
        <w:jc w:val="both"/>
        <w:rPr>
          <w:rFonts w:ascii="Arial Narrow" w:eastAsia="Arial Narrow" w:hAnsi="Arial Narrow" w:cs="Arial Narrow"/>
          <w:b/>
          <w:color w:val="000000"/>
        </w:rPr>
      </w:pPr>
      <w:r>
        <w:rPr>
          <w:rFonts w:ascii="Arial Narrow" w:eastAsia="Arial Narrow" w:hAnsi="Arial Narrow" w:cs="Arial Narrow"/>
          <w:b/>
          <w:color w:val="000000"/>
        </w:rPr>
        <w:t>7.</w:t>
      </w:r>
      <w:r>
        <w:rPr>
          <w:rFonts w:ascii="Arial Narrow" w:eastAsia="Arial Narrow" w:hAnsi="Arial Narrow" w:cs="Arial Narrow"/>
          <w:b/>
          <w:color w:val="000000"/>
        </w:rPr>
        <w:tab/>
        <w:t xml:space="preserve">CONFLICTO DE INTERESES </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Según lo establecido en el artículo 3 de la Ley 2003 de 2019, corresponde enunciar las posibles circunstancias en las que se podría incurrir en conflicto de interés por parte de los co</w:t>
      </w:r>
      <w:r>
        <w:rPr>
          <w:rFonts w:ascii="Arial Narrow" w:eastAsia="Arial Narrow" w:hAnsi="Arial Narrow" w:cs="Arial Narrow"/>
          <w:color w:val="000000"/>
        </w:rPr>
        <w:t xml:space="preserve">ngresistas </w:t>
      </w:r>
      <w:r>
        <w:rPr>
          <w:rFonts w:ascii="Arial Narrow" w:eastAsia="Arial Narrow" w:hAnsi="Arial Narrow" w:cs="Arial Narrow"/>
        </w:rPr>
        <w:t>de la</w:t>
      </w:r>
      <w:r>
        <w:rPr>
          <w:rFonts w:ascii="Arial Narrow" w:eastAsia="Arial Narrow" w:hAnsi="Arial Narrow" w:cs="Arial Narrow"/>
          <w:color w:val="000000"/>
        </w:rPr>
        <w:t xml:space="preserve"> Corte Constitucional de Colombia. Sentencia C-067 de 2003. M.P.: Marco Gerardo Monroy Cabra. participen de la discusión y votación del Proyecto de Ley. En ese sentido, señala el artículo 1º de la Ley 2003 de 2019 lo siguiente:</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 “ARTÍCULO 1</w:t>
      </w:r>
      <w:r>
        <w:rPr>
          <w:rFonts w:ascii="Arial Narrow" w:eastAsia="Arial Narrow" w:hAnsi="Arial Narrow" w:cs="Arial Narrow"/>
          <w:color w:val="000000"/>
        </w:rPr>
        <w:t xml:space="preserve">° El artículo 286 de la Ley 5 de 1992 quedará así: </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 xml:space="preserve">ARTÍCULO 286. Régimen de conflicto de interés de los congresistas. Todos los congresistas deberán declarar los conflictos </w:t>
      </w:r>
      <w:r>
        <w:rPr>
          <w:rFonts w:ascii="Arial Narrow" w:eastAsia="Arial Narrow" w:hAnsi="Arial Narrow" w:cs="Arial Narrow"/>
        </w:rPr>
        <w:t>de intereses</w:t>
      </w:r>
      <w:r>
        <w:rPr>
          <w:rFonts w:ascii="Arial Narrow" w:eastAsia="Arial Narrow" w:hAnsi="Arial Narrow" w:cs="Arial Narrow"/>
          <w:color w:val="000000"/>
        </w:rPr>
        <w:t xml:space="preserve"> que pudieran surgir </w:t>
      </w:r>
      <w:r>
        <w:rPr>
          <w:rFonts w:ascii="Arial Narrow" w:eastAsia="Arial Narrow" w:hAnsi="Arial Narrow" w:cs="Arial Narrow"/>
        </w:rPr>
        <w:t>en el ejercicio</w:t>
      </w:r>
      <w:r>
        <w:rPr>
          <w:rFonts w:ascii="Arial Narrow" w:eastAsia="Arial Narrow" w:hAnsi="Arial Narrow" w:cs="Arial Narrow"/>
          <w:color w:val="000000"/>
        </w:rPr>
        <w:t xml:space="preserve"> de sus funciones. Se entiende como conflicto de interés una situación donde la discusión o votación de un proyecto de ley o acto legislativo o artículo, pueda resultar en un beneficio particular, actual y directo a favor del congresista. </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a) Beneficio par</w:t>
      </w:r>
      <w:r>
        <w:rPr>
          <w:rFonts w:ascii="Arial Narrow" w:eastAsia="Arial Narrow" w:hAnsi="Arial Narrow" w:cs="Arial Narrow"/>
          <w:color w:val="000000"/>
        </w:rPr>
        <w:t>ticular: aquel que otorga un privilegio o genera ganancias o crea indemnizaciones económicas o elimina obligaciones a favor del congresista de las que no gozan el resto de los ciudadanos. Modifique normas que afecten investigaciones penales, disciplinarias</w:t>
      </w:r>
      <w:r>
        <w:rPr>
          <w:rFonts w:ascii="Arial Narrow" w:eastAsia="Arial Narrow" w:hAnsi="Arial Narrow" w:cs="Arial Narrow"/>
          <w:color w:val="000000"/>
        </w:rPr>
        <w:t>, fiscales o administrativas a las que se encuentre formalmente vinculado.</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 xml:space="preserve"> b) Beneficio actual: aquel que efectivamente se configura en las circunstancias presentes y existentes al momento en el que el congresista participa de la decisión.</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 xml:space="preserve"> c) Beneficio d</w:t>
      </w:r>
      <w:r>
        <w:rPr>
          <w:rFonts w:ascii="Arial Narrow" w:eastAsia="Arial Narrow" w:hAnsi="Arial Narrow" w:cs="Arial Narrow"/>
          <w:color w:val="000000"/>
        </w:rPr>
        <w:t xml:space="preserve">irecto: aquel que se produzca de forma específica respecto del congresista, de su cónyuge, compañero o compañera permanente, o parientes dentro del segundo grado de consanguinidad, segundo de afinidad o primero civil.” </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Atendiendo el anterior apartado lega</w:t>
      </w:r>
      <w:r>
        <w:rPr>
          <w:rFonts w:ascii="Arial Narrow" w:eastAsia="Arial Narrow" w:hAnsi="Arial Narrow" w:cs="Arial Narrow"/>
          <w:color w:val="000000"/>
        </w:rPr>
        <w:t xml:space="preserve">l, se considera que en el caso de este Proyecto de Acto Legislativo podría configurarse un eventual conflicto de interés en el caso de los congresistas que estén en curso de un proceso disciplinario actualmente. Sin embargo, esto no exime </w:t>
      </w:r>
      <w:r>
        <w:rPr>
          <w:rFonts w:ascii="Arial Narrow" w:eastAsia="Arial Narrow" w:hAnsi="Arial Narrow" w:cs="Arial Narrow"/>
        </w:rPr>
        <w:t>al congresista</w:t>
      </w:r>
      <w:r>
        <w:rPr>
          <w:rFonts w:ascii="Arial Narrow" w:eastAsia="Arial Narrow" w:hAnsi="Arial Narrow" w:cs="Arial Narrow"/>
          <w:color w:val="000000"/>
        </w:rPr>
        <w:t xml:space="preserve"> a </w:t>
      </w:r>
      <w:r>
        <w:rPr>
          <w:rFonts w:ascii="Arial Narrow" w:eastAsia="Arial Narrow" w:hAnsi="Arial Narrow" w:cs="Arial Narrow"/>
          <w:color w:val="000000"/>
        </w:rPr>
        <w:t>hacer una valoración sobre su condición particular y eventuales conflictos de interés.</w:t>
      </w:r>
    </w:p>
    <w:p w:rsidR="00FC7BAA" w:rsidRDefault="00FC7BAA">
      <w:pPr>
        <w:ind w:left="360"/>
        <w:jc w:val="both"/>
        <w:rPr>
          <w:rFonts w:ascii="Arial Narrow" w:eastAsia="Arial Narrow" w:hAnsi="Arial Narrow" w:cs="Arial Narrow"/>
        </w:rPr>
      </w:pPr>
    </w:p>
    <w:p w:rsidR="00FC7BAA" w:rsidRDefault="00FC7BAA">
      <w:pPr>
        <w:ind w:left="360"/>
        <w:jc w:val="both"/>
        <w:rPr>
          <w:rFonts w:ascii="Arial Narrow" w:eastAsia="Arial Narrow" w:hAnsi="Arial Narrow" w:cs="Arial Narrow"/>
        </w:rPr>
      </w:pPr>
    </w:p>
    <w:p w:rsidR="00FC7BAA" w:rsidRDefault="0013018E">
      <w:pPr>
        <w:numPr>
          <w:ilvl w:val="0"/>
          <w:numId w:val="1"/>
        </w:num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PLIEGO DE MODIFICACIONES</w:t>
      </w:r>
    </w:p>
    <w:tbl>
      <w:tblPr>
        <w:tblStyle w:val="a0"/>
        <w:tblW w:w="8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2"/>
        <w:gridCol w:w="2823"/>
        <w:gridCol w:w="2823"/>
      </w:tblGrid>
      <w:tr w:rsidR="00FC7BAA">
        <w:tc>
          <w:tcPr>
            <w:tcW w:w="8468" w:type="dxa"/>
            <w:gridSpan w:val="3"/>
          </w:tcPr>
          <w:p w:rsidR="00FC7BAA" w:rsidRDefault="0013018E">
            <w:pPr>
              <w:jc w:val="center"/>
              <w:rPr>
                <w:rFonts w:ascii="Arial Narrow" w:eastAsia="Arial Narrow" w:hAnsi="Arial Narrow" w:cs="Arial Narrow"/>
                <w:b/>
                <w:color w:val="000000"/>
              </w:rPr>
            </w:pPr>
            <w:r>
              <w:rPr>
                <w:rFonts w:ascii="Arial Narrow" w:eastAsia="Arial Narrow" w:hAnsi="Arial Narrow" w:cs="Arial Narrow"/>
                <w:b/>
                <w:color w:val="000000"/>
              </w:rPr>
              <w:t>PLIEGO DE MODIFICACIONES</w:t>
            </w:r>
          </w:p>
        </w:tc>
      </w:tr>
      <w:tr w:rsidR="00FC7BAA">
        <w:tc>
          <w:tcPr>
            <w:tcW w:w="2822" w:type="dxa"/>
          </w:tcPr>
          <w:p w:rsidR="00FC7BAA" w:rsidRDefault="0013018E">
            <w:pPr>
              <w:jc w:val="both"/>
              <w:rPr>
                <w:rFonts w:ascii="Arial Narrow" w:eastAsia="Arial Narrow" w:hAnsi="Arial Narrow" w:cs="Arial Narrow"/>
                <w:b/>
                <w:color w:val="000000"/>
              </w:rPr>
            </w:pPr>
            <w:r>
              <w:rPr>
                <w:rFonts w:ascii="Arial Narrow" w:eastAsia="Arial Narrow" w:hAnsi="Arial Narrow" w:cs="Arial Narrow"/>
                <w:b/>
                <w:color w:val="000000"/>
              </w:rPr>
              <w:t>TEXTO PROYECTO DE LEY</w:t>
            </w:r>
          </w:p>
        </w:tc>
        <w:tc>
          <w:tcPr>
            <w:tcW w:w="2823" w:type="dxa"/>
          </w:tcPr>
          <w:p w:rsidR="00FC7BAA" w:rsidRDefault="0013018E">
            <w:pPr>
              <w:jc w:val="both"/>
              <w:rPr>
                <w:rFonts w:ascii="Arial Narrow" w:eastAsia="Arial Narrow" w:hAnsi="Arial Narrow" w:cs="Arial Narrow"/>
                <w:b/>
                <w:color w:val="000000"/>
              </w:rPr>
            </w:pPr>
            <w:r>
              <w:rPr>
                <w:rFonts w:ascii="Arial Narrow" w:eastAsia="Arial Narrow" w:hAnsi="Arial Narrow" w:cs="Arial Narrow"/>
                <w:b/>
                <w:color w:val="000000"/>
              </w:rPr>
              <w:t>TEXTO PROPUESTO PRIMER DEBATE</w:t>
            </w:r>
          </w:p>
        </w:tc>
        <w:tc>
          <w:tcPr>
            <w:tcW w:w="2823" w:type="dxa"/>
          </w:tcPr>
          <w:p w:rsidR="00FC7BAA" w:rsidRDefault="0013018E">
            <w:pPr>
              <w:jc w:val="both"/>
              <w:rPr>
                <w:rFonts w:ascii="Arial Narrow" w:eastAsia="Arial Narrow" w:hAnsi="Arial Narrow" w:cs="Arial Narrow"/>
                <w:b/>
                <w:color w:val="000000"/>
              </w:rPr>
            </w:pPr>
            <w:r>
              <w:rPr>
                <w:rFonts w:ascii="Arial Narrow" w:eastAsia="Arial Narrow" w:hAnsi="Arial Narrow" w:cs="Arial Narrow"/>
                <w:b/>
                <w:color w:val="000000"/>
              </w:rPr>
              <w:t>OBSERVACIONES</w:t>
            </w:r>
          </w:p>
        </w:tc>
      </w:tr>
      <w:tr w:rsidR="00FC7BAA">
        <w:tc>
          <w:tcPr>
            <w:tcW w:w="2822" w:type="dxa"/>
          </w:tcPr>
          <w:p w:rsidR="00FC7BAA" w:rsidRDefault="0013018E">
            <w:pPr>
              <w:jc w:val="both"/>
              <w:rPr>
                <w:rFonts w:ascii="Arial Narrow" w:eastAsia="Arial Narrow" w:hAnsi="Arial Narrow" w:cs="Arial Narrow"/>
                <w:color w:val="000000"/>
              </w:rPr>
            </w:pPr>
            <w:r>
              <w:rPr>
                <w:rFonts w:ascii="Arial Narrow" w:eastAsia="Arial Narrow" w:hAnsi="Arial Narrow" w:cs="Arial Narrow"/>
                <w:b/>
              </w:rPr>
              <w:t>TÍTULO:</w:t>
            </w:r>
            <w:r>
              <w:rPr>
                <w:rFonts w:ascii="Arial Narrow" w:eastAsia="Arial Narrow" w:hAnsi="Arial Narrow" w:cs="Arial Narrow"/>
              </w:rPr>
              <w:t xml:space="preserve"> POR MEDIO DEL CUAL SE ARMONIZA LA CONSTITUCIÓN POLÍTICA EN MATERIA DE DERECHOS POLÍTICOS CON RESPECTO DISPUESTO EN LA CONVENCIÓN AMERICANA SOBRE DERECHOS HUMANOS</w:t>
            </w:r>
          </w:p>
        </w:tc>
        <w:tc>
          <w:tcPr>
            <w:tcW w:w="2823" w:type="dxa"/>
          </w:tcPr>
          <w:p w:rsidR="00FC7BAA" w:rsidRDefault="0013018E">
            <w:pPr>
              <w:jc w:val="both"/>
              <w:rPr>
                <w:rFonts w:ascii="Arial Narrow" w:eastAsia="Arial Narrow" w:hAnsi="Arial Narrow" w:cs="Arial Narrow"/>
                <w:color w:val="000000"/>
              </w:rPr>
            </w:pPr>
            <w:r>
              <w:rPr>
                <w:rFonts w:ascii="Arial Narrow" w:eastAsia="Arial Narrow" w:hAnsi="Arial Narrow" w:cs="Arial Narrow"/>
                <w:b/>
              </w:rPr>
              <w:t>TÍTULO:</w:t>
            </w:r>
            <w:r>
              <w:rPr>
                <w:rFonts w:ascii="Arial Narrow" w:eastAsia="Arial Narrow" w:hAnsi="Arial Narrow" w:cs="Arial Narrow"/>
              </w:rPr>
              <w:t xml:space="preserve"> POR MEDIO DEL CUAL SE ARMONIZA LA CONSTITUCIÓN POLÍTICA EN MATERIA DE DERECHOS POLÍTI</w:t>
            </w:r>
            <w:r>
              <w:rPr>
                <w:rFonts w:ascii="Arial Narrow" w:eastAsia="Arial Narrow" w:hAnsi="Arial Narrow" w:cs="Arial Narrow"/>
              </w:rPr>
              <w:t xml:space="preserve">COS CON RESPECTO </w:t>
            </w:r>
            <w:r>
              <w:rPr>
                <w:rFonts w:ascii="Arial Narrow" w:eastAsia="Arial Narrow" w:hAnsi="Arial Narrow" w:cs="Arial Narrow"/>
                <w:b/>
                <w:u w:val="single"/>
              </w:rPr>
              <w:t xml:space="preserve">A LO </w:t>
            </w:r>
            <w:r>
              <w:rPr>
                <w:rFonts w:ascii="Arial Narrow" w:eastAsia="Arial Narrow" w:hAnsi="Arial Narrow" w:cs="Arial Narrow"/>
              </w:rPr>
              <w:t>DISPUESTO EN LA CONVENCIÓN AMERICANA SOBRE DERECHOS HUMANOS</w:t>
            </w:r>
          </w:p>
        </w:tc>
        <w:tc>
          <w:tcPr>
            <w:tcW w:w="2823" w:type="dxa"/>
          </w:tcPr>
          <w:p w:rsidR="00FC7BAA" w:rsidRDefault="0013018E">
            <w:pPr>
              <w:jc w:val="both"/>
              <w:rPr>
                <w:rFonts w:ascii="Arial Narrow" w:eastAsia="Arial Narrow" w:hAnsi="Arial Narrow" w:cs="Arial Narrow"/>
                <w:color w:val="000000"/>
              </w:rPr>
            </w:pPr>
            <w:r>
              <w:rPr>
                <w:rFonts w:ascii="Arial Narrow" w:eastAsia="Arial Narrow" w:hAnsi="Arial Narrow" w:cs="Arial Narrow"/>
              </w:rPr>
              <w:t>Corrección de redacción</w:t>
            </w:r>
          </w:p>
        </w:tc>
      </w:tr>
      <w:tr w:rsidR="00FC7BAA">
        <w:tc>
          <w:tcPr>
            <w:tcW w:w="2822" w:type="dxa"/>
          </w:tcPr>
          <w:p w:rsidR="00FC7BAA" w:rsidRDefault="0013018E">
            <w:pPr>
              <w:spacing w:after="160" w:line="259" w:lineRule="auto"/>
              <w:ind w:left="360"/>
              <w:jc w:val="both"/>
              <w:rPr>
                <w:rFonts w:ascii="Arial Narrow" w:eastAsia="Arial Narrow" w:hAnsi="Arial Narrow" w:cs="Arial Narrow"/>
              </w:rPr>
            </w:pPr>
            <w:r>
              <w:rPr>
                <w:rFonts w:ascii="Arial Narrow" w:eastAsia="Arial Narrow" w:hAnsi="Arial Narrow" w:cs="Arial Narrow"/>
                <w:b/>
              </w:rPr>
              <w:t xml:space="preserve">ARTÍCULO 1. </w:t>
            </w:r>
            <w:r>
              <w:rPr>
                <w:rFonts w:ascii="Arial Narrow" w:eastAsia="Arial Narrow" w:hAnsi="Arial Narrow" w:cs="Arial Narrow"/>
              </w:rPr>
              <w:t>Modifíquese el artículo 40 de la Constitución Política el cual quedará así:</w:t>
            </w:r>
          </w:p>
          <w:p w:rsidR="00FC7BAA" w:rsidRDefault="0013018E">
            <w:pPr>
              <w:spacing w:after="160" w:line="259" w:lineRule="auto"/>
              <w:ind w:left="360"/>
              <w:jc w:val="both"/>
              <w:rPr>
                <w:rFonts w:ascii="Arial Narrow" w:eastAsia="Arial Narrow" w:hAnsi="Arial Narrow" w:cs="Arial Narrow"/>
              </w:rPr>
            </w:pPr>
            <w:r>
              <w:rPr>
                <w:rFonts w:ascii="Arial Narrow" w:eastAsia="Arial Narrow" w:hAnsi="Arial Narrow" w:cs="Arial Narrow"/>
              </w:rPr>
              <w:t xml:space="preserve"> ARTÍCULO 40. Todo ciudadano tiene derecho a participar en la conformación, ejercicio y control del poder político. </w:t>
            </w:r>
            <w:r>
              <w:rPr>
                <w:rFonts w:ascii="Arial Narrow" w:eastAsia="Arial Narrow" w:hAnsi="Arial Narrow" w:cs="Arial Narrow"/>
              </w:rPr>
              <w:lastRenderedPageBreak/>
              <w:t xml:space="preserve">Para hacer efectivo este derecho puede: </w:t>
            </w: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1. Elegir y ser elegido.</w:t>
            </w: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2. Tomar parte en elecciones, plebiscitos, referendos, consultas populares</w:t>
            </w:r>
            <w:r>
              <w:rPr>
                <w:rFonts w:ascii="Arial Narrow" w:eastAsia="Arial Narrow" w:hAnsi="Arial Narrow" w:cs="Arial Narrow"/>
              </w:rPr>
              <w:t xml:space="preserve"> y otras formas de participación democrática. </w:t>
            </w: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3. Constituir partidos, movimientos y agrupaciones políticas sin limitación alguna; formar parte de ellos libremente y difundir sus ideas y programas.</w:t>
            </w: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4. Revocar el mandato de los elegidos en los casos y en la</w:t>
            </w:r>
            <w:r>
              <w:rPr>
                <w:rFonts w:ascii="Arial Narrow" w:eastAsia="Arial Narrow" w:hAnsi="Arial Narrow" w:cs="Arial Narrow"/>
              </w:rPr>
              <w:t xml:space="preserve"> forma que establecen la Constitución y la ley. </w:t>
            </w: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5. Tener iniciativa en las corporaciones públicas.</w:t>
            </w: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 xml:space="preserve"> 6. Interponer acciones públicas en defensa de la Constitución y de la ley. </w:t>
            </w: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 xml:space="preserve">7. Acceder al desempeño de funciones y cargos públicos, salvo los colombianos, </w:t>
            </w:r>
            <w:r>
              <w:rPr>
                <w:rFonts w:ascii="Arial Narrow" w:eastAsia="Arial Narrow" w:hAnsi="Arial Narrow" w:cs="Arial Narrow"/>
              </w:rPr>
              <w:t>por nacimiento o por adopción, que tengan doble nacionalidad. La ley reglamentará esta excepción y determinará los casos a los cuales ha de aplicarse.</w:t>
            </w:r>
          </w:p>
          <w:p w:rsidR="00FC7BAA" w:rsidRDefault="00FC7BAA">
            <w:pPr>
              <w:spacing w:line="259" w:lineRule="auto"/>
              <w:ind w:left="360"/>
              <w:jc w:val="both"/>
              <w:rPr>
                <w:rFonts w:ascii="Arial Narrow" w:eastAsia="Arial Narrow" w:hAnsi="Arial Narrow" w:cs="Arial Narrow"/>
              </w:rPr>
            </w:pP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 xml:space="preserve">Las autoridades garantizarán la adecuada y efectiva participación de la mujer en los niveles decisorios de la Administración Pública. </w:t>
            </w:r>
          </w:p>
          <w:p w:rsidR="00FC7BAA" w:rsidRDefault="00FC7BAA">
            <w:pPr>
              <w:spacing w:line="259" w:lineRule="auto"/>
              <w:ind w:left="360"/>
              <w:jc w:val="both"/>
              <w:rPr>
                <w:rFonts w:ascii="Arial Narrow" w:eastAsia="Arial Narrow" w:hAnsi="Arial Narrow" w:cs="Arial Narrow"/>
              </w:rPr>
            </w:pP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 xml:space="preserve">En ningún caso los derechos políticos de cualquier ciudadano podrán ser limitados por autoridad </w:t>
            </w:r>
            <w:r>
              <w:rPr>
                <w:rFonts w:ascii="Arial Narrow" w:eastAsia="Arial Narrow" w:hAnsi="Arial Narrow" w:cs="Arial Narrow"/>
              </w:rPr>
              <w:lastRenderedPageBreak/>
              <w:t>distinta al de un juez c</w:t>
            </w:r>
            <w:r>
              <w:rPr>
                <w:rFonts w:ascii="Arial Narrow" w:eastAsia="Arial Narrow" w:hAnsi="Arial Narrow" w:cs="Arial Narrow"/>
              </w:rPr>
              <w:t xml:space="preserve">ompetente en el marco de un proceso penal mediante sentencia judicial, a excepción del proceso de pérdida de investidura. </w:t>
            </w:r>
          </w:p>
          <w:p w:rsidR="00FC7BAA" w:rsidRDefault="00FC7BAA">
            <w:pPr>
              <w:spacing w:line="259" w:lineRule="auto"/>
              <w:ind w:left="360"/>
              <w:jc w:val="both"/>
              <w:rPr>
                <w:rFonts w:ascii="Arial Narrow" w:eastAsia="Arial Narrow" w:hAnsi="Arial Narrow" w:cs="Arial Narrow"/>
              </w:rPr>
            </w:pP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Parágrafo. En los eventos en que la autoridad competente, con base a la calificación de la investigación, identificara que un servid</w:t>
            </w:r>
            <w:r>
              <w:rPr>
                <w:rFonts w:ascii="Arial Narrow" w:eastAsia="Arial Narrow" w:hAnsi="Arial Narrow" w:cs="Arial Narrow"/>
              </w:rPr>
              <w:t>or público habría posiblemente incurrido en una falta que podría generar como sanción limitación de sus derechos políticos, esta deberá presentar la solicitud de sanción ante juez penal competente, para que, en el marco del proceso especial sancionatorio d</w:t>
            </w:r>
            <w:r>
              <w:rPr>
                <w:rFonts w:ascii="Arial Narrow" w:eastAsia="Arial Narrow" w:hAnsi="Arial Narrow" w:cs="Arial Narrow"/>
              </w:rPr>
              <w:t xml:space="preserve">e servidores públicos que reglamentará la ley, emita el fallo correspondiente. </w:t>
            </w:r>
          </w:p>
          <w:p w:rsidR="00FC7BAA" w:rsidRDefault="00FC7BAA">
            <w:pPr>
              <w:jc w:val="both"/>
              <w:rPr>
                <w:rFonts w:ascii="Arial Narrow" w:eastAsia="Arial Narrow" w:hAnsi="Arial Narrow" w:cs="Arial Narrow"/>
                <w:b/>
              </w:rPr>
            </w:pPr>
          </w:p>
        </w:tc>
        <w:tc>
          <w:tcPr>
            <w:tcW w:w="2823" w:type="dxa"/>
          </w:tcPr>
          <w:p w:rsidR="00FC7BAA" w:rsidRDefault="0013018E">
            <w:pPr>
              <w:spacing w:after="160" w:line="259" w:lineRule="auto"/>
              <w:ind w:left="360"/>
              <w:jc w:val="both"/>
              <w:rPr>
                <w:rFonts w:ascii="Arial Narrow" w:eastAsia="Arial Narrow" w:hAnsi="Arial Narrow" w:cs="Arial Narrow"/>
              </w:rPr>
            </w:pPr>
            <w:r>
              <w:rPr>
                <w:rFonts w:ascii="Arial Narrow" w:eastAsia="Arial Narrow" w:hAnsi="Arial Narrow" w:cs="Arial Narrow"/>
                <w:b/>
              </w:rPr>
              <w:lastRenderedPageBreak/>
              <w:t xml:space="preserve">ARTÍCULO 1. </w:t>
            </w:r>
            <w:r>
              <w:rPr>
                <w:rFonts w:ascii="Arial Narrow" w:eastAsia="Arial Narrow" w:hAnsi="Arial Narrow" w:cs="Arial Narrow"/>
              </w:rPr>
              <w:t>Modifíquese el artículo 40 de la Constitución Política el cual quedará así:</w:t>
            </w:r>
          </w:p>
          <w:p w:rsidR="00FC7BAA" w:rsidRDefault="0013018E">
            <w:pPr>
              <w:spacing w:after="160" w:line="259" w:lineRule="auto"/>
              <w:ind w:left="360"/>
              <w:jc w:val="both"/>
              <w:rPr>
                <w:rFonts w:ascii="Arial Narrow" w:eastAsia="Arial Narrow" w:hAnsi="Arial Narrow" w:cs="Arial Narrow"/>
              </w:rPr>
            </w:pPr>
            <w:r>
              <w:rPr>
                <w:rFonts w:ascii="Arial Narrow" w:eastAsia="Arial Narrow" w:hAnsi="Arial Narrow" w:cs="Arial Narrow"/>
              </w:rPr>
              <w:t xml:space="preserve"> ARTÍCULO 40. Todo ciudadano tiene derecho a participar en la conformación, ejercicio y</w:t>
            </w:r>
            <w:r>
              <w:rPr>
                <w:rFonts w:ascii="Arial Narrow" w:eastAsia="Arial Narrow" w:hAnsi="Arial Narrow" w:cs="Arial Narrow"/>
              </w:rPr>
              <w:t xml:space="preserve"> control del poder político. </w:t>
            </w:r>
            <w:r>
              <w:rPr>
                <w:rFonts w:ascii="Arial Narrow" w:eastAsia="Arial Narrow" w:hAnsi="Arial Narrow" w:cs="Arial Narrow"/>
              </w:rPr>
              <w:lastRenderedPageBreak/>
              <w:t xml:space="preserve">Para hacer efectivo este derecho puede: </w:t>
            </w: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1. Elegir y ser elegido.</w:t>
            </w: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 xml:space="preserve">2. Tomar parte en elecciones, plebiscitos, referendos, consultas populares y otras formas de participación democrática. </w:t>
            </w: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3. Constituir partidos, movimientos y ag</w:t>
            </w:r>
            <w:r>
              <w:rPr>
                <w:rFonts w:ascii="Arial Narrow" w:eastAsia="Arial Narrow" w:hAnsi="Arial Narrow" w:cs="Arial Narrow"/>
              </w:rPr>
              <w:t>rupaciones políticas sin limitación alguna; formar parte de ellos libremente y difundir sus ideas y programas.</w:t>
            </w: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 xml:space="preserve">4. Revocar el mandato de los elegidos en los casos y en la forma que establecen la Constitución y la ley. </w:t>
            </w: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5. Tener iniciativa en las corporacion</w:t>
            </w:r>
            <w:r>
              <w:rPr>
                <w:rFonts w:ascii="Arial Narrow" w:eastAsia="Arial Narrow" w:hAnsi="Arial Narrow" w:cs="Arial Narrow"/>
              </w:rPr>
              <w:t>es públicas.</w:t>
            </w: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 xml:space="preserve"> 6. Interponer acciones públicas en defensa de la Constitución y de la ley. </w:t>
            </w: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 xml:space="preserve">7. Acceder al desempeño de funciones y cargos públicos, salvo los colombianos, por nacimiento o por adopción, que tengan doble nacionalidad. La ley reglamentará esta </w:t>
            </w:r>
            <w:r>
              <w:rPr>
                <w:rFonts w:ascii="Arial Narrow" w:eastAsia="Arial Narrow" w:hAnsi="Arial Narrow" w:cs="Arial Narrow"/>
              </w:rPr>
              <w:t>excepción y determinará los casos a los cuales ha de aplicarse.</w:t>
            </w:r>
          </w:p>
          <w:p w:rsidR="00FC7BAA" w:rsidRDefault="00FC7BAA">
            <w:pPr>
              <w:spacing w:line="259" w:lineRule="auto"/>
              <w:ind w:left="360"/>
              <w:jc w:val="both"/>
              <w:rPr>
                <w:rFonts w:ascii="Arial Narrow" w:eastAsia="Arial Narrow" w:hAnsi="Arial Narrow" w:cs="Arial Narrow"/>
              </w:rPr>
            </w:pP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 xml:space="preserve">Las autoridades garantizarán la adecuada y efectiva participación de la mujer en los niveles decisorios de la Administración Pública. </w:t>
            </w:r>
          </w:p>
          <w:p w:rsidR="00FC7BAA" w:rsidRDefault="00FC7BAA">
            <w:pPr>
              <w:spacing w:line="259" w:lineRule="auto"/>
              <w:ind w:left="360"/>
              <w:jc w:val="both"/>
              <w:rPr>
                <w:rFonts w:ascii="Arial Narrow" w:eastAsia="Arial Narrow" w:hAnsi="Arial Narrow" w:cs="Arial Narrow"/>
              </w:rPr>
            </w:pP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En ningún caso los derechos políticos de cualquier ciud</w:t>
            </w:r>
            <w:r>
              <w:rPr>
                <w:rFonts w:ascii="Arial Narrow" w:eastAsia="Arial Narrow" w:hAnsi="Arial Narrow" w:cs="Arial Narrow"/>
              </w:rPr>
              <w:t xml:space="preserve">adano podrán ser limitados por autoridad distinta al de un juez </w:t>
            </w:r>
            <w:r>
              <w:rPr>
                <w:rFonts w:ascii="Arial Narrow" w:eastAsia="Arial Narrow" w:hAnsi="Arial Narrow" w:cs="Arial Narrow"/>
              </w:rPr>
              <w:lastRenderedPageBreak/>
              <w:t xml:space="preserve">competente en el marco de un proceso penal mediante sentencia judicial, a excepción del proceso de pérdida de investidura. </w:t>
            </w:r>
          </w:p>
          <w:p w:rsidR="00FC7BAA" w:rsidRDefault="00FC7BAA">
            <w:pPr>
              <w:spacing w:line="259" w:lineRule="auto"/>
              <w:ind w:left="360"/>
              <w:jc w:val="both"/>
              <w:rPr>
                <w:rFonts w:ascii="Arial Narrow" w:eastAsia="Arial Narrow" w:hAnsi="Arial Narrow" w:cs="Arial Narrow"/>
              </w:rPr>
            </w:pPr>
          </w:p>
          <w:p w:rsidR="00FC7BAA" w:rsidRDefault="0013018E">
            <w:pPr>
              <w:spacing w:line="259" w:lineRule="auto"/>
              <w:ind w:left="360"/>
              <w:jc w:val="both"/>
              <w:rPr>
                <w:rFonts w:ascii="Arial Narrow" w:eastAsia="Arial Narrow" w:hAnsi="Arial Narrow" w:cs="Arial Narrow"/>
              </w:rPr>
            </w:pPr>
            <w:r>
              <w:rPr>
                <w:rFonts w:ascii="Arial Narrow" w:eastAsia="Arial Narrow" w:hAnsi="Arial Narrow" w:cs="Arial Narrow"/>
              </w:rPr>
              <w:t xml:space="preserve">Parágrafo. En los eventos en que la autoridad competente, con base </w:t>
            </w:r>
            <w:r>
              <w:rPr>
                <w:rFonts w:ascii="Arial Narrow" w:eastAsia="Arial Narrow" w:hAnsi="Arial Narrow" w:cs="Arial Narrow"/>
              </w:rPr>
              <w:t>a la calificación de la investigación, identificara que un servidor público habría posiblemente incurrido en una falta que podría generar como sanción limitación de sus derechos políticos, esta deberá presentar la solicitud de sanción ante juez penal compe</w:t>
            </w:r>
            <w:r>
              <w:rPr>
                <w:rFonts w:ascii="Arial Narrow" w:eastAsia="Arial Narrow" w:hAnsi="Arial Narrow" w:cs="Arial Narrow"/>
              </w:rPr>
              <w:t xml:space="preserve">tente, para que, en el marco del proceso especial sancionatorio de servidores públicos que reglamentará la ley, emita el fallo correspondiente. </w:t>
            </w:r>
          </w:p>
          <w:p w:rsidR="00FC7BAA" w:rsidRDefault="00FC7BAA">
            <w:pPr>
              <w:spacing w:line="259" w:lineRule="auto"/>
              <w:ind w:left="360"/>
              <w:jc w:val="both"/>
              <w:rPr>
                <w:rFonts w:ascii="Arial Narrow" w:eastAsia="Arial Narrow" w:hAnsi="Arial Narrow" w:cs="Arial Narrow"/>
              </w:rPr>
            </w:pPr>
          </w:p>
          <w:p w:rsidR="00FC7BAA" w:rsidRDefault="0013018E">
            <w:pPr>
              <w:spacing w:line="259" w:lineRule="auto"/>
              <w:ind w:left="360"/>
              <w:jc w:val="both"/>
              <w:rPr>
                <w:rFonts w:ascii="Arial Narrow" w:eastAsia="Arial Narrow" w:hAnsi="Arial Narrow" w:cs="Arial Narrow"/>
                <w:b/>
              </w:rPr>
            </w:pPr>
            <w:r>
              <w:rPr>
                <w:rFonts w:ascii="Arial Narrow" w:eastAsia="Arial Narrow" w:hAnsi="Arial Narrow" w:cs="Arial Narrow"/>
                <w:b/>
              </w:rPr>
              <w:t xml:space="preserve">Esta disposición se aplicará incluso en los casos en que el servidor público ya no se encuentre en el ejercicio del cargo. </w:t>
            </w:r>
          </w:p>
          <w:p w:rsidR="00FC7BAA" w:rsidRDefault="00FC7BAA">
            <w:pPr>
              <w:jc w:val="both"/>
              <w:rPr>
                <w:rFonts w:ascii="Arial Narrow" w:eastAsia="Arial Narrow" w:hAnsi="Arial Narrow" w:cs="Arial Narrow"/>
                <w:b/>
              </w:rPr>
            </w:pPr>
          </w:p>
        </w:tc>
        <w:tc>
          <w:tcPr>
            <w:tcW w:w="2823" w:type="dxa"/>
          </w:tcPr>
          <w:p w:rsidR="00FC7BAA" w:rsidRDefault="0013018E">
            <w:pPr>
              <w:jc w:val="both"/>
              <w:rPr>
                <w:rFonts w:ascii="Arial Narrow" w:eastAsia="Arial Narrow" w:hAnsi="Arial Narrow" w:cs="Arial Narrow"/>
              </w:rPr>
            </w:pPr>
            <w:r>
              <w:rPr>
                <w:rFonts w:ascii="Arial Narrow" w:eastAsia="Arial Narrow" w:hAnsi="Arial Narrow" w:cs="Arial Narrow"/>
              </w:rPr>
              <w:lastRenderedPageBreak/>
              <w:t>Se adiciona el parágrafo propuesto, con el fin de ampliar la protección incluso para aquellos que han dejado de ser servidores públ</w:t>
            </w:r>
            <w:r>
              <w:rPr>
                <w:rFonts w:ascii="Arial Narrow" w:eastAsia="Arial Narrow" w:hAnsi="Arial Narrow" w:cs="Arial Narrow"/>
              </w:rPr>
              <w:t xml:space="preserve">icos. </w:t>
            </w:r>
          </w:p>
        </w:tc>
      </w:tr>
    </w:tbl>
    <w:p w:rsidR="00FC7BAA" w:rsidRDefault="00FC7BAA">
      <w:pPr>
        <w:jc w:val="both"/>
        <w:rPr>
          <w:rFonts w:ascii="Arial Narrow" w:eastAsia="Arial Narrow" w:hAnsi="Arial Narrow" w:cs="Arial Narrow"/>
          <w:color w:val="000000"/>
        </w:rPr>
      </w:pPr>
    </w:p>
    <w:p w:rsidR="00FC7BAA" w:rsidRDefault="0013018E">
      <w:pPr>
        <w:numPr>
          <w:ilvl w:val="0"/>
          <w:numId w:val="1"/>
        </w:numPr>
        <w:jc w:val="both"/>
        <w:rPr>
          <w:rFonts w:ascii="Arial Narrow" w:eastAsia="Arial Narrow" w:hAnsi="Arial Narrow" w:cs="Arial Narrow"/>
          <w:b/>
        </w:rPr>
      </w:pPr>
      <w:r>
        <w:rPr>
          <w:rFonts w:ascii="Arial Narrow" w:eastAsia="Arial Narrow" w:hAnsi="Arial Narrow" w:cs="Arial Narrow"/>
          <w:b/>
        </w:rPr>
        <w:t>PROPOSICIÓN.</w:t>
      </w:r>
    </w:p>
    <w:p w:rsidR="00FC7BAA" w:rsidRDefault="0013018E">
      <w:pPr>
        <w:ind w:left="720"/>
        <w:jc w:val="both"/>
        <w:rPr>
          <w:rFonts w:ascii="Arial Narrow" w:eastAsia="Arial Narrow" w:hAnsi="Arial Narrow" w:cs="Arial Narrow"/>
        </w:rPr>
      </w:pPr>
      <w:r>
        <w:rPr>
          <w:rFonts w:ascii="Arial Narrow" w:eastAsia="Arial Narrow" w:hAnsi="Arial Narrow" w:cs="Arial Narrow"/>
        </w:rPr>
        <w:t>Considerando los argumentos expuestos, presentamos ponencia positiva y solicitamos a la comisión Primera de la Cámara de Representante dar primer debate al Acto Legislativo 202 del 2024 Cámara “Por medio del cual se armoniza la consti</w:t>
      </w:r>
      <w:r>
        <w:rPr>
          <w:rFonts w:ascii="Arial Narrow" w:eastAsia="Arial Narrow" w:hAnsi="Arial Narrow" w:cs="Arial Narrow"/>
        </w:rPr>
        <w:t xml:space="preserve">tución política en materia de derechos políticos con respecto dispuesto en la Convención Americana sobre Derechos Humanos” según el texto propuesto. </w:t>
      </w:r>
    </w:p>
    <w:p w:rsidR="00FC7BAA" w:rsidRDefault="00FC7BAA">
      <w:pPr>
        <w:ind w:left="1080"/>
        <w:jc w:val="both"/>
        <w:rPr>
          <w:rFonts w:ascii="Arial Narrow" w:eastAsia="Arial Narrow" w:hAnsi="Arial Narrow" w:cs="Arial Narrow"/>
        </w:rPr>
      </w:pP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De los y las congresistas,</w:t>
      </w:r>
    </w:p>
    <w:tbl>
      <w:tblPr>
        <w:tblStyle w:val="a1"/>
        <w:tblW w:w="10226"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37"/>
        <w:gridCol w:w="5289"/>
      </w:tblGrid>
      <w:tr w:rsidR="00FC7BAA">
        <w:tc>
          <w:tcPr>
            <w:tcW w:w="4937" w:type="dxa"/>
          </w:tcPr>
          <w:p w:rsidR="00FC7BAA" w:rsidRDefault="00FC7BAA">
            <w:pPr>
              <w:ind w:left="360"/>
              <w:jc w:val="both"/>
              <w:rPr>
                <w:rFonts w:ascii="Arial Narrow" w:eastAsia="Arial Narrow" w:hAnsi="Arial Narrow" w:cs="Arial Narrow"/>
                <w:color w:val="000000"/>
              </w:rPr>
            </w:pPr>
          </w:p>
          <w:p w:rsidR="00FC7BAA" w:rsidRDefault="00FC7BAA">
            <w:pPr>
              <w:ind w:left="360"/>
              <w:jc w:val="both"/>
              <w:rPr>
                <w:rFonts w:ascii="Arial Narrow" w:eastAsia="Arial Narrow" w:hAnsi="Arial Narrow" w:cs="Arial Narrow"/>
                <w:color w:val="000000"/>
              </w:rPr>
            </w:pPr>
          </w:p>
          <w:p w:rsidR="00FC7BAA" w:rsidRDefault="00FC7BAA">
            <w:pPr>
              <w:ind w:left="360"/>
              <w:jc w:val="both"/>
              <w:rPr>
                <w:rFonts w:ascii="Arial Narrow" w:eastAsia="Arial Narrow" w:hAnsi="Arial Narrow" w:cs="Arial Narrow"/>
                <w:color w:val="000000"/>
              </w:rPr>
            </w:pP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_______________________________</w:t>
            </w:r>
          </w:p>
          <w:p w:rsidR="00FC7BAA" w:rsidRDefault="0013018E">
            <w:pPr>
              <w:ind w:left="360"/>
              <w:jc w:val="both"/>
              <w:rPr>
                <w:rFonts w:ascii="Arial Narrow" w:eastAsia="Arial Narrow" w:hAnsi="Arial Narrow" w:cs="Arial Narrow"/>
                <w:b/>
                <w:color w:val="000000"/>
              </w:rPr>
            </w:pPr>
            <w:r>
              <w:rPr>
                <w:rFonts w:ascii="Arial Narrow" w:eastAsia="Arial Narrow" w:hAnsi="Arial Narrow" w:cs="Arial Narrow"/>
                <w:b/>
                <w:color w:val="000000"/>
              </w:rPr>
              <w:t xml:space="preserve">H.R. PEDRO JOSÉ SUAREZ VACCA </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Coordinador Ponente</w:t>
            </w:r>
          </w:p>
        </w:tc>
        <w:tc>
          <w:tcPr>
            <w:tcW w:w="5289" w:type="dxa"/>
          </w:tcPr>
          <w:p w:rsidR="00FC7BAA" w:rsidRDefault="00FC7BAA">
            <w:pPr>
              <w:ind w:left="360"/>
              <w:jc w:val="both"/>
              <w:rPr>
                <w:rFonts w:ascii="Arial Narrow" w:eastAsia="Arial Narrow" w:hAnsi="Arial Narrow" w:cs="Arial Narrow"/>
                <w:color w:val="000000"/>
              </w:rPr>
            </w:pPr>
          </w:p>
          <w:p w:rsidR="00FC7BAA" w:rsidRDefault="00FC7BAA">
            <w:pPr>
              <w:ind w:left="360"/>
              <w:jc w:val="both"/>
              <w:rPr>
                <w:rFonts w:ascii="Arial Narrow" w:eastAsia="Arial Narrow" w:hAnsi="Arial Narrow" w:cs="Arial Narrow"/>
                <w:color w:val="000000"/>
              </w:rPr>
            </w:pPr>
          </w:p>
          <w:p w:rsidR="00FC7BAA" w:rsidRDefault="00FC7BAA">
            <w:pPr>
              <w:ind w:left="360"/>
              <w:jc w:val="both"/>
              <w:rPr>
                <w:rFonts w:ascii="Arial Narrow" w:eastAsia="Arial Narrow" w:hAnsi="Arial Narrow" w:cs="Arial Narrow"/>
                <w:color w:val="000000"/>
              </w:rPr>
            </w:pP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______________________________________</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b/>
                <w:color w:val="000000"/>
              </w:rPr>
              <w:t>H.R. ALVARO LEONEL RUEDA CABALLERO</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 xml:space="preserve">Coordinador Ponente                                             </w:t>
            </w:r>
          </w:p>
        </w:tc>
      </w:tr>
      <w:tr w:rsidR="00FC7BAA">
        <w:tc>
          <w:tcPr>
            <w:tcW w:w="4937" w:type="dxa"/>
          </w:tcPr>
          <w:p w:rsidR="00FC7BAA" w:rsidRDefault="00FC7BAA">
            <w:pPr>
              <w:ind w:left="360"/>
              <w:jc w:val="both"/>
              <w:rPr>
                <w:rFonts w:ascii="Arial Narrow" w:eastAsia="Arial Narrow" w:hAnsi="Arial Narrow" w:cs="Arial Narrow"/>
                <w:color w:val="000000"/>
              </w:rPr>
            </w:pPr>
          </w:p>
          <w:p w:rsidR="00FC7BAA" w:rsidRDefault="00FC7BAA">
            <w:pPr>
              <w:jc w:val="both"/>
              <w:rPr>
                <w:rFonts w:ascii="Arial Narrow" w:eastAsia="Arial Narrow" w:hAnsi="Arial Narrow" w:cs="Arial Narrow"/>
                <w:color w:val="000000"/>
              </w:rPr>
            </w:pPr>
          </w:p>
          <w:p w:rsidR="00FC7BAA" w:rsidRDefault="00FC7BAA">
            <w:pPr>
              <w:ind w:left="360"/>
              <w:jc w:val="both"/>
              <w:rPr>
                <w:rFonts w:ascii="Arial Narrow" w:eastAsia="Arial Narrow" w:hAnsi="Arial Narrow" w:cs="Arial Narrow"/>
                <w:color w:val="000000"/>
              </w:rPr>
            </w:pP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______________________________</w:t>
            </w:r>
          </w:p>
          <w:p w:rsidR="00FC7BAA" w:rsidRDefault="0013018E">
            <w:pPr>
              <w:ind w:left="360"/>
              <w:jc w:val="both"/>
              <w:rPr>
                <w:rFonts w:ascii="Arial Narrow" w:eastAsia="Arial Narrow" w:hAnsi="Arial Narrow" w:cs="Arial Narrow"/>
                <w:b/>
                <w:color w:val="000000"/>
              </w:rPr>
            </w:pPr>
            <w:r>
              <w:rPr>
                <w:rFonts w:ascii="Arial Narrow" w:eastAsia="Arial Narrow" w:hAnsi="Arial Narrow" w:cs="Arial Narrow"/>
                <w:b/>
                <w:color w:val="000000"/>
              </w:rPr>
              <w:t>H.R. RUTH AMELIA CAICEDO ROSERO</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Ponente</w:t>
            </w:r>
          </w:p>
        </w:tc>
        <w:tc>
          <w:tcPr>
            <w:tcW w:w="5289" w:type="dxa"/>
          </w:tcPr>
          <w:p w:rsidR="00FC7BAA" w:rsidRDefault="00FC7BAA">
            <w:pPr>
              <w:ind w:left="360"/>
              <w:jc w:val="both"/>
              <w:rPr>
                <w:rFonts w:ascii="Arial Narrow" w:eastAsia="Arial Narrow" w:hAnsi="Arial Narrow" w:cs="Arial Narrow"/>
                <w:color w:val="000000"/>
              </w:rPr>
            </w:pPr>
          </w:p>
          <w:p w:rsidR="00FC7BAA" w:rsidRDefault="00FC7BAA">
            <w:pPr>
              <w:ind w:left="360"/>
              <w:jc w:val="both"/>
              <w:rPr>
                <w:rFonts w:ascii="Arial Narrow" w:eastAsia="Arial Narrow" w:hAnsi="Arial Narrow" w:cs="Arial Narrow"/>
                <w:color w:val="000000"/>
              </w:rPr>
            </w:pPr>
          </w:p>
          <w:p w:rsidR="00FC7BAA" w:rsidRDefault="00FC7BAA">
            <w:pPr>
              <w:jc w:val="both"/>
              <w:rPr>
                <w:rFonts w:ascii="Arial Narrow" w:eastAsia="Arial Narrow" w:hAnsi="Arial Narrow" w:cs="Arial Narrow"/>
                <w:color w:val="000000"/>
              </w:rPr>
            </w:pP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______________________________________</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b/>
                <w:color w:val="000000"/>
              </w:rPr>
              <w:t xml:space="preserve">H.R. JUAN SEBASTIAN </w:t>
            </w:r>
            <w:r>
              <w:rPr>
                <w:rFonts w:ascii="Arial Narrow" w:eastAsia="Arial Narrow" w:hAnsi="Arial Narrow" w:cs="Arial Narrow"/>
                <w:b/>
              </w:rPr>
              <w:t>GOMEZ</w:t>
            </w:r>
            <w:r>
              <w:rPr>
                <w:rFonts w:ascii="Arial Narrow" w:eastAsia="Arial Narrow" w:hAnsi="Arial Narrow" w:cs="Arial Narrow"/>
                <w:b/>
                <w:color w:val="000000"/>
              </w:rPr>
              <w:t xml:space="preserve"> </w:t>
            </w:r>
            <w:r>
              <w:rPr>
                <w:rFonts w:ascii="Arial Narrow" w:eastAsia="Arial Narrow" w:hAnsi="Arial Narrow" w:cs="Arial Narrow"/>
                <w:b/>
              </w:rPr>
              <w:t>GONZALEZ</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Ponente</w:t>
            </w:r>
          </w:p>
        </w:tc>
      </w:tr>
      <w:tr w:rsidR="00FC7BAA">
        <w:tc>
          <w:tcPr>
            <w:tcW w:w="4937" w:type="dxa"/>
          </w:tcPr>
          <w:p w:rsidR="00FC7BAA" w:rsidRDefault="00FC7BAA">
            <w:pPr>
              <w:ind w:left="360"/>
              <w:jc w:val="both"/>
              <w:rPr>
                <w:rFonts w:ascii="Arial Narrow" w:eastAsia="Arial Narrow" w:hAnsi="Arial Narrow" w:cs="Arial Narrow"/>
                <w:color w:val="000000"/>
              </w:rPr>
            </w:pPr>
          </w:p>
          <w:p w:rsidR="00FC7BAA" w:rsidRDefault="00FC7BAA">
            <w:pPr>
              <w:ind w:left="360"/>
              <w:jc w:val="both"/>
              <w:rPr>
                <w:rFonts w:ascii="Arial Narrow" w:eastAsia="Arial Narrow" w:hAnsi="Arial Narrow" w:cs="Arial Narrow"/>
                <w:color w:val="000000"/>
              </w:rPr>
            </w:pPr>
          </w:p>
          <w:p w:rsidR="00FC7BAA" w:rsidRDefault="00FC7BAA">
            <w:pPr>
              <w:jc w:val="both"/>
              <w:rPr>
                <w:rFonts w:ascii="Arial Narrow" w:eastAsia="Arial Narrow" w:hAnsi="Arial Narrow" w:cs="Arial Narrow"/>
                <w:color w:val="000000"/>
              </w:rPr>
            </w:pP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___________________________________</w:t>
            </w:r>
          </w:p>
          <w:p w:rsidR="00FC7BAA" w:rsidRDefault="0013018E">
            <w:pPr>
              <w:ind w:left="360"/>
              <w:jc w:val="both"/>
              <w:rPr>
                <w:rFonts w:ascii="Arial Narrow" w:eastAsia="Arial Narrow" w:hAnsi="Arial Narrow" w:cs="Arial Narrow"/>
                <w:b/>
                <w:color w:val="000000"/>
              </w:rPr>
            </w:pPr>
            <w:r>
              <w:rPr>
                <w:rFonts w:ascii="Arial Narrow" w:eastAsia="Arial Narrow" w:hAnsi="Arial Narrow" w:cs="Arial Narrow"/>
                <w:b/>
                <w:color w:val="000000"/>
              </w:rPr>
              <w:t>H.R. OSCAR RODRIGO CAMPO HURTADO</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 xml:space="preserve">Ponente </w:t>
            </w:r>
          </w:p>
        </w:tc>
        <w:tc>
          <w:tcPr>
            <w:tcW w:w="5289" w:type="dxa"/>
          </w:tcPr>
          <w:p w:rsidR="00FC7BAA" w:rsidRDefault="00FC7BAA">
            <w:pPr>
              <w:ind w:left="360"/>
              <w:jc w:val="both"/>
              <w:rPr>
                <w:rFonts w:ascii="Arial Narrow" w:eastAsia="Arial Narrow" w:hAnsi="Arial Narrow" w:cs="Arial Narrow"/>
                <w:color w:val="000000"/>
              </w:rPr>
            </w:pPr>
          </w:p>
          <w:p w:rsidR="00FC7BAA" w:rsidRDefault="00FC7BAA">
            <w:pPr>
              <w:ind w:left="360"/>
              <w:jc w:val="both"/>
              <w:rPr>
                <w:rFonts w:ascii="Arial Narrow" w:eastAsia="Arial Narrow" w:hAnsi="Arial Narrow" w:cs="Arial Narrow"/>
                <w:color w:val="000000"/>
              </w:rPr>
            </w:pPr>
          </w:p>
          <w:p w:rsidR="00FC7BAA" w:rsidRDefault="00FC7BAA">
            <w:pPr>
              <w:jc w:val="both"/>
              <w:rPr>
                <w:rFonts w:ascii="Arial Narrow" w:eastAsia="Arial Narrow" w:hAnsi="Arial Narrow" w:cs="Arial Narrow"/>
                <w:color w:val="000000"/>
              </w:rPr>
            </w:pP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____________________________</w:t>
            </w:r>
          </w:p>
          <w:p w:rsidR="00FC7BAA" w:rsidRDefault="0013018E">
            <w:pPr>
              <w:ind w:left="360"/>
              <w:jc w:val="both"/>
              <w:rPr>
                <w:rFonts w:ascii="Arial Narrow" w:eastAsia="Arial Narrow" w:hAnsi="Arial Narrow" w:cs="Arial Narrow"/>
                <w:b/>
                <w:color w:val="000000"/>
              </w:rPr>
            </w:pPr>
            <w:r>
              <w:rPr>
                <w:rFonts w:ascii="Arial Narrow" w:eastAsia="Arial Narrow" w:hAnsi="Arial Narrow" w:cs="Arial Narrow"/>
                <w:b/>
                <w:color w:val="000000"/>
              </w:rPr>
              <w:t xml:space="preserve">H.R. ASTRID </w:t>
            </w:r>
            <w:r>
              <w:rPr>
                <w:rFonts w:ascii="Arial Narrow" w:eastAsia="Arial Narrow" w:hAnsi="Arial Narrow" w:cs="Arial Narrow"/>
                <w:b/>
              </w:rPr>
              <w:t>SÁNCHEZ</w:t>
            </w:r>
            <w:r>
              <w:rPr>
                <w:rFonts w:ascii="Arial Narrow" w:eastAsia="Arial Narrow" w:hAnsi="Arial Narrow" w:cs="Arial Narrow"/>
                <w:b/>
                <w:color w:val="000000"/>
              </w:rPr>
              <w:t xml:space="preserve"> MONTES DE OCA </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 xml:space="preserve">Ponente </w:t>
            </w:r>
          </w:p>
        </w:tc>
      </w:tr>
      <w:tr w:rsidR="00FC7BAA">
        <w:tc>
          <w:tcPr>
            <w:tcW w:w="4937" w:type="dxa"/>
          </w:tcPr>
          <w:p w:rsidR="00FC7BAA" w:rsidRDefault="00FC7BAA">
            <w:pPr>
              <w:ind w:left="360"/>
              <w:jc w:val="both"/>
              <w:rPr>
                <w:rFonts w:ascii="Arial Narrow" w:eastAsia="Arial Narrow" w:hAnsi="Arial Narrow" w:cs="Arial Narrow"/>
                <w:color w:val="000000"/>
              </w:rPr>
            </w:pPr>
          </w:p>
          <w:p w:rsidR="00FC7BAA" w:rsidRDefault="00FC7BAA">
            <w:pPr>
              <w:jc w:val="both"/>
              <w:rPr>
                <w:rFonts w:ascii="Arial Narrow" w:eastAsia="Arial Narrow" w:hAnsi="Arial Narrow" w:cs="Arial Narrow"/>
                <w:color w:val="000000"/>
              </w:rPr>
            </w:pP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___________________________________</w:t>
            </w:r>
          </w:p>
          <w:p w:rsidR="00FC7BAA" w:rsidRDefault="0013018E">
            <w:pPr>
              <w:ind w:left="360"/>
              <w:jc w:val="both"/>
              <w:rPr>
                <w:rFonts w:ascii="Arial Narrow" w:eastAsia="Arial Narrow" w:hAnsi="Arial Narrow" w:cs="Arial Narrow"/>
                <w:b/>
                <w:color w:val="000000"/>
              </w:rPr>
            </w:pPr>
            <w:r>
              <w:rPr>
                <w:rFonts w:ascii="Arial Narrow" w:eastAsia="Arial Narrow" w:hAnsi="Arial Narrow" w:cs="Arial Narrow"/>
                <w:b/>
                <w:color w:val="000000"/>
              </w:rPr>
              <w:t>H.R. HERNAN DARIO CADAVID MARQUEZ</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 xml:space="preserve">Ponente              </w:t>
            </w:r>
          </w:p>
        </w:tc>
        <w:tc>
          <w:tcPr>
            <w:tcW w:w="5289" w:type="dxa"/>
          </w:tcPr>
          <w:p w:rsidR="00FC7BAA" w:rsidRDefault="00FC7BAA">
            <w:pPr>
              <w:jc w:val="both"/>
              <w:rPr>
                <w:rFonts w:ascii="Arial Narrow" w:eastAsia="Arial Narrow" w:hAnsi="Arial Narrow" w:cs="Arial Narrow"/>
                <w:b/>
              </w:rPr>
            </w:pPr>
          </w:p>
          <w:p w:rsidR="00FC7BAA" w:rsidRDefault="00FC7BAA">
            <w:pPr>
              <w:jc w:val="both"/>
              <w:rPr>
                <w:rFonts w:ascii="Arial Narrow" w:eastAsia="Arial Narrow" w:hAnsi="Arial Narrow" w:cs="Arial Narrow"/>
                <w:b/>
              </w:rPr>
            </w:pP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_________________________________</w:t>
            </w:r>
          </w:p>
          <w:p w:rsidR="00FC7BAA" w:rsidRDefault="0013018E">
            <w:pPr>
              <w:ind w:left="360"/>
              <w:jc w:val="both"/>
              <w:rPr>
                <w:rFonts w:ascii="Arial Narrow" w:eastAsia="Arial Narrow" w:hAnsi="Arial Narrow" w:cs="Arial Narrow"/>
                <w:b/>
                <w:color w:val="000000"/>
              </w:rPr>
            </w:pPr>
            <w:r>
              <w:rPr>
                <w:rFonts w:ascii="Arial Narrow" w:eastAsia="Arial Narrow" w:hAnsi="Arial Narrow" w:cs="Arial Narrow"/>
                <w:b/>
                <w:color w:val="000000"/>
              </w:rPr>
              <w:t xml:space="preserve">H.R. LUIS ALBERTO </w:t>
            </w:r>
            <w:r>
              <w:rPr>
                <w:rFonts w:ascii="Arial Narrow" w:eastAsia="Arial Narrow" w:hAnsi="Arial Narrow" w:cs="Arial Narrow"/>
                <w:b/>
              </w:rPr>
              <w:t>ALBÁN</w:t>
            </w:r>
            <w:r>
              <w:rPr>
                <w:rFonts w:ascii="Arial Narrow" w:eastAsia="Arial Narrow" w:hAnsi="Arial Narrow" w:cs="Arial Narrow"/>
                <w:b/>
                <w:color w:val="000000"/>
              </w:rPr>
              <w:t xml:space="preserve"> URBANO</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 xml:space="preserve">Ponente    </w:t>
            </w:r>
          </w:p>
        </w:tc>
      </w:tr>
      <w:tr w:rsidR="00FC7BAA">
        <w:tc>
          <w:tcPr>
            <w:tcW w:w="4937" w:type="dxa"/>
          </w:tcPr>
          <w:p w:rsidR="00FC7BAA" w:rsidRDefault="00FC7BAA">
            <w:pPr>
              <w:jc w:val="both"/>
              <w:rPr>
                <w:rFonts w:ascii="Arial Narrow" w:eastAsia="Arial Narrow" w:hAnsi="Arial Narrow" w:cs="Arial Narrow"/>
                <w:color w:val="000000"/>
              </w:rPr>
            </w:pPr>
          </w:p>
          <w:p w:rsidR="00FC7BAA" w:rsidRDefault="00FC7BAA">
            <w:pPr>
              <w:jc w:val="both"/>
              <w:rPr>
                <w:rFonts w:ascii="Arial Narrow" w:eastAsia="Arial Narrow" w:hAnsi="Arial Narrow" w:cs="Arial Narrow"/>
                <w:color w:val="000000"/>
              </w:rPr>
            </w:pP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 xml:space="preserve">___________________________                                          </w:t>
            </w:r>
          </w:p>
          <w:p w:rsidR="00FC7BAA" w:rsidRDefault="0013018E">
            <w:pPr>
              <w:ind w:left="360"/>
              <w:jc w:val="both"/>
              <w:rPr>
                <w:rFonts w:ascii="Arial Narrow" w:eastAsia="Arial Narrow" w:hAnsi="Arial Narrow" w:cs="Arial Narrow"/>
                <w:b/>
                <w:color w:val="000000"/>
              </w:rPr>
            </w:pPr>
            <w:r>
              <w:rPr>
                <w:rFonts w:ascii="Arial Narrow" w:eastAsia="Arial Narrow" w:hAnsi="Arial Narrow" w:cs="Arial Narrow"/>
                <w:b/>
              </w:rPr>
              <w:t xml:space="preserve">H.R </w:t>
            </w:r>
            <w:r>
              <w:rPr>
                <w:rFonts w:ascii="Arial Narrow" w:eastAsia="Arial Narrow" w:hAnsi="Arial Narrow" w:cs="Arial Narrow"/>
                <w:b/>
                <w:color w:val="000000"/>
              </w:rPr>
              <w:t xml:space="preserve">MARELEN </w:t>
            </w:r>
            <w:r>
              <w:rPr>
                <w:rFonts w:ascii="Arial Narrow" w:eastAsia="Arial Narrow" w:hAnsi="Arial Narrow" w:cs="Arial Narrow"/>
                <w:b/>
                <w:color w:val="000000"/>
              </w:rPr>
              <w:t xml:space="preserve">CASTILLO TORRES                        </w:t>
            </w:r>
          </w:p>
          <w:p w:rsidR="00FC7BAA" w:rsidRDefault="0013018E">
            <w:pPr>
              <w:ind w:left="360"/>
              <w:jc w:val="both"/>
              <w:rPr>
                <w:rFonts w:ascii="Arial Narrow" w:eastAsia="Arial Narrow" w:hAnsi="Arial Narrow" w:cs="Arial Narrow"/>
                <w:b/>
                <w:color w:val="000000"/>
              </w:rPr>
            </w:pPr>
            <w:r>
              <w:rPr>
                <w:rFonts w:ascii="Arial Narrow" w:eastAsia="Arial Narrow" w:hAnsi="Arial Narrow" w:cs="Arial Narrow"/>
                <w:color w:val="000000"/>
              </w:rPr>
              <w:t>Ponente</w:t>
            </w:r>
            <w:r>
              <w:rPr>
                <w:rFonts w:ascii="Arial Narrow" w:eastAsia="Arial Narrow" w:hAnsi="Arial Narrow" w:cs="Arial Narrow"/>
                <w:b/>
                <w:color w:val="000000"/>
              </w:rPr>
              <w:t xml:space="preserve">                                                                                      </w:t>
            </w:r>
            <w:r>
              <w:rPr>
                <w:rFonts w:ascii="Arial Narrow" w:eastAsia="Arial Narrow" w:hAnsi="Arial Narrow" w:cs="Arial Narrow"/>
                <w:b/>
              </w:rPr>
              <w:t xml:space="preserve"> </w:t>
            </w:r>
            <w:r>
              <w:rPr>
                <w:rFonts w:ascii="Arial Narrow" w:eastAsia="Arial Narrow" w:hAnsi="Arial Narrow" w:cs="Arial Narrow"/>
                <w:b/>
                <w:color w:val="000000"/>
              </w:rPr>
              <w:t xml:space="preserve">         </w:t>
            </w:r>
          </w:p>
          <w:p w:rsidR="00FC7BAA" w:rsidRDefault="00FC7BAA">
            <w:pPr>
              <w:ind w:left="360"/>
              <w:jc w:val="both"/>
              <w:rPr>
                <w:rFonts w:ascii="Arial Narrow" w:eastAsia="Arial Narrow" w:hAnsi="Arial Narrow" w:cs="Arial Narrow"/>
                <w:b/>
              </w:rPr>
            </w:pPr>
          </w:p>
        </w:tc>
        <w:tc>
          <w:tcPr>
            <w:tcW w:w="5289" w:type="dxa"/>
          </w:tcPr>
          <w:p w:rsidR="00FC7BAA" w:rsidRDefault="00FC7BAA">
            <w:pPr>
              <w:ind w:left="360"/>
              <w:jc w:val="both"/>
              <w:rPr>
                <w:rFonts w:ascii="Arial Narrow" w:eastAsia="Arial Narrow" w:hAnsi="Arial Narrow" w:cs="Arial Narrow"/>
                <w:color w:val="000000"/>
              </w:rPr>
            </w:pPr>
          </w:p>
          <w:p w:rsidR="00FC7BAA" w:rsidRDefault="00FC7BAA">
            <w:pPr>
              <w:jc w:val="both"/>
              <w:rPr>
                <w:rFonts w:ascii="Arial Narrow" w:eastAsia="Arial Narrow" w:hAnsi="Arial Narrow" w:cs="Arial Narrow"/>
              </w:rPr>
            </w:pPr>
          </w:p>
          <w:p w:rsidR="00FC7BAA" w:rsidRDefault="0013018E">
            <w:pPr>
              <w:ind w:left="360"/>
              <w:jc w:val="both"/>
              <w:rPr>
                <w:rFonts w:ascii="Arial Narrow" w:eastAsia="Arial Narrow" w:hAnsi="Arial Narrow" w:cs="Arial Narrow"/>
              </w:rPr>
            </w:pPr>
            <w:r>
              <w:rPr>
                <w:rFonts w:ascii="Arial Narrow" w:eastAsia="Arial Narrow" w:hAnsi="Arial Narrow" w:cs="Arial Narrow"/>
              </w:rPr>
              <w:t>___________________________</w:t>
            </w:r>
          </w:p>
          <w:p w:rsidR="00FC7BAA" w:rsidRDefault="0013018E">
            <w:pPr>
              <w:ind w:left="360"/>
              <w:jc w:val="both"/>
              <w:rPr>
                <w:rFonts w:ascii="Arial Narrow" w:eastAsia="Arial Narrow" w:hAnsi="Arial Narrow" w:cs="Arial Narrow"/>
                <w:b/>
              </w:rPr>
            </w:pPr>
            <w:r>
              <w:rPr>
                <w:rFonts w:ascii="Arial Narrow" w:eastAsia="Arial Narrow" w:hAnsi="Arial Narrow" w:cs="Arial Narrow"/>
                <w:b/>
              </w:rPr>
              <w:t xml:space="preserve">H.R ORLANDO CASTILLO ADVÍNCULA  </w:t>
            </w:r>
          </w:p>
          <w:p w:rsidR="00FC7BAA" w:rsidRDefault="0013018E">
            <w:pPr>
              <w:ind w:left="360"/>
              <w:jc w:val="both"/>
              <w:rPr>
                <w:rFonts w:ascii="Arial Narrow" w:eastAsia="Arial Narrow" w:hAnsi="Arial Narrow" w:cs="Arial Narrow"/>
              </w:rPr>
            </w:pPr>
            <w:r>
              <w:rPr>
                <w:rFonts w:ascii="Arial Narrow" w:eastAsia="Arial Narrow" w:hAnsi="Arial Narrow" w:cs="Arial Narrow"/>
              </w:rPr>
              <w:t>Ponente</w:t>
            </w:r>
          </w:p>
        </w:tc>
      </w:tr>
    </w:tbl>
    <w:p w:rsidR="00FC7BAA" w:rsidRDefault="00FC7BAA">
      <w:pPr>
        <w:rPr>
          <w:rFonts w:ascii="Arial Narrow" w:eastAsia="Arial Narrow" w:hAnsi="Arial Narrow" w:cs="Arial Narrow"/>
          <w:color w:val="000000"/>
        </w:rPr>
      </w:pPr>
    </w:p>
    <w:p w:rsidR="00597854" w:rsidRDefault="00597854">
      <w:pPr>
        <w:rPr>
          <w:rFonts w:ascii="Arial Narrow" w:eastAsia="Arial Narrow" w:hAnsi="Arial Narrow" w:cs="Arial Narrow"/>
          <w:color w:val="000000"/>
        </w:rPr>
      </w:pPr>
    </w:p>
    <w:p w:rsidR="00597854" w:rsidRDefault="00597854">
      <w:pPr>
        <w:rPr>
          <w:rFonts w:ascii="Arial Narrow" w:eastAsia="Arial Narrow" w:hAnsi="Arial Narrow" w:cs="Arial Narrow"/>
          <w:color w:val="000000"/>
        </w:rPr>
      </w:pPr>
    </w:p>
    <w:p w:rsidR="00FC7BAA" w:rsidRDefault="0013018E">
      <w:pPr>
        <w:jc w:val="center"/>
        <w:rPr>
          <w:rFonts w:ascii="Arial Narrow" w:eastAsia="Arial Narrow" w:hAnsi="Arial Narrow" w:cs="Arial Narrow"/>
          <w:b/>
        </w:rPr>
      </w:pPr>
      <w:r>
        <w:rPr>
          <w:rFonts w:ascii="Arial Narrow" w:eastAsia="Arial Narrow" w:hAnsi="Arial Narrow" w:cs="Arial Narrow"/>
          <w:b/>
        </w:rPr>
        <w:lastRenderedPageBreak/>
        <w:t xml:space="preserve">TEXTO PROPUESTO PARA PRIMER DEBATE </w:t>
      </w:r>
    </w:p>
    <w:p w:rsidR="00FC7BAA" w:rsidRDefault="0013018E">
      <w:pPr>
        <w:jc w:val="center"/>
        <w:rPr>
          <w:rFonts w:ascii="Arial Narrow" w:eastAsia="Arial Narrow" w:hAnsi="Arial Narrow" w:cs="Arial Narrow"/>
          <w:b/>
          <w:color w:val="000000"/>
        </w:rPr>
      </w:pPr>
      <w:r>
        <w:rPr>
          <w:rFonts w:ascii="Arial Narrow" w:eastAsia="Arial Narrow" w:hAnsi="Arial Narrow" w:cs="Arial Narrow"/>
          <w:b/>
          <w:color w:val="000000"/>
        </w:rPr>
        <w:t xml:space="preserve">PROYECTO DE ACTO LEGISLATIVO 202 DE 2024 “POR MEDIO DEL CUAL SE ARMONIZA LA CONSTITUCIÓN POLÍTICA EN MATERIA DE DERECHOS POLÍTICOS CON RESPECTO </w:t>
      </w:r>
      <w:r>
        <w:rPr>
          <w:rFonts w:ascii="Arial Narrow" w:eastAsia="Arial Narrow" w:hAnsi="Arial Narrow" w:cs="Arial Narrow"/>
          <w:b/>
          <w:color w:val="000000"/>
          <w:u w:val="single"/>
        </w:rPr>
        <w:t xml:space="preserve">A LO </w:t>
      </w:r>
      <w:r>
        <w:rPr>
          <w:rFonts w:ascii="Arial Narrow" w:eastAsia="Arial Narrow" w:hAnsi="Arial Narrow" w:cs="Arial Narrow"/>
          <w:b/>
          <w:color w:val="000000"/>
        </w:rPr>
        <w:t>DISPUESTO EN LA CONVENCIÓN AMERICANA SOBRE DERECHOS HUMANOS”</w:t>
      </w:r>
    </w:p>
    <w:p w:rsidR="00FC7BAA" w:rsidRDefault="0013018E">
      <w:pPr>
        <w:ind w:left="360"/>
        <w:jc w:val="center"/>
        <w:rPr>
          <w:rFonts w:ascii="Arial Narrow" w:eastAsia="Arial Narrow" w:hAnsi="Arial Narrow" w:cs="Arial Narrow"/>
          <w:b/>
          <w:color w:val="000000"/>
        </w:rPr>
      </w:pPr>
      <w:r>
        <w:rPr>
          <w:rFonts w:ascii="Arial Narrow" w:eastAsia="Arial Narrow" w:hAnsi="Arial Narrow" w:cs="Arial Narrow"/>
          <w:b/>
          <w:color w:val="000000"/>
        </w:rPr>
        <w:t xml:space="preserve">EL CONGRESO DE COLOMBIA </w:t>
      </w:r>
    </w:p>
    <w:p w:rsidR="00FC7BAA" w:rsidRDefault="0013018E">
      <w:pPr>
        <w:ind w:left="360"/>
        <w:jc w:val="center"/>
        <w:rPr>
          <w:rFonts w:ascii="Arial Narrow" w:eastAsia="Arial Narrow" w:hAnsi="Arial Narrow" w:cs="Arial Narrow"/>
          <w:b/>
          <w:color w:val="000000"/>
        </w:rPr>
      </w:pPr>
      <w:r>
        <w:rPr>
          <w:rFonts w:ascii="Arial Narrow" w:eastAsia="Arial Narrow" w:hAnsi="Arial Narrow" w:cs="Arial Narrow"/>
          <w:b/>
          <w:color w:val="000000"/>
        </w:rPr>
        <w:t>DECRETA</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b/>
          <w:color w:val="000000"/>
        </w:rPr>
        <w:t xml:space="preserve">ARTÍCULO 1. </w:t>
      </w:r>
      <w:r>
        <w:rPr>
          <w:rFonts w:ascii="Arial Narrow" w:eastAsia="Arial Narrow" w:hAnsi="Arial Narrow" w:cs="Arial Narrow"/>
          <w:color w:val="000000"/>
        </w:rPr>
        <w:t>M</w:t>
      </w:r>
      <w:r>
        <w:rPr>
          <w:rFonts w:ascii="Arial Narrow" w:eastAsia="Arial Narrow" w:hAnsi="Arial Narrow" w:cs="Arial Narrow"/>
          <w:color w:val="000000"/>
        </w:rPr>
        <w:t>odifíquese el artículo 40 de la Constitución Política el cual quedará así:</w:t>
      </w:r>
    </w:p>
    <w:p w:rsidR="00FC7BAA" w:rsidRDefault="0013018E">
      <w:pPr>
        <w:ind w:left="360"/>
        <w:jc w:val="both"/>
        <w:rPr>
          <w:rFonts w:ascii="Arial Narrow" w:eastAsia="Arial Narrow" w:hAnsi="Arial Narrow" w:cs="Arial Narrow"/>
          <w:color w:val="000000"/>
        </w:rPr>
      </w:pPr>
      <w:r>
        <w:rPr>
          <w:rFonts w:ascii="Arial Narrow" w:eastAsia="Arial Narrow" w:hAnsi="Arial Narrow" w:cs="Arial Narrow"/>
          <w:color w:val="000000"/>
        </w:rPr>
        <w:t xml:space="preserve"> ARTÍCULO 40. Todo ciudadano tiene derecho a participar en la conformación, ejercicio y control del poder político. Para hacer efectivo este derecho puede: </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1. Elegir y ser elegido.</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2. Tomar parte en elecciones, plebiscitos, referendos, consultas populares y otras formas de participación democrática. </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3. Constituir partidos, movimientos y agrupaciones políticas sin limitación alguna; formar parte de ellos libremente y difundir sus id</w:t>
      </w:r>
      <w:r>
        <w:rPr>
          <w:rFonts w:ascii="Arial Narrow" w:eastAsia="Arial Narrow" w:hAnsi="Arial Narrow" w:cs="Arial Narrow"/>
          <w:color w:val="000000"/>
        </w:rPr>
        <w:t>eas y programas.</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4. Revocar el mandato de los elegidos en los casos y en la forma que establecen la Constitución y la ley. </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5. Tener iniciativa en las corporaciones públicas.</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 6. Interponer acciones públicas en defensa de la Constitución y de la ley. </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7. A</w:t>
      </w:r>
      <w:r>
        <w:rPr>
          <w:rFonts w:ascii="Arial Narrow" w:eastAsia="Arial Narrow" w:hAnsi="Arial Narrow" w:cs="Arial Narrow"/>
          <w:color w:val="000000"/>
        </w:rPr>
        <w:t>cceder al desempeño de funciones y cargos públicos, salvo los colombianos, por nacimiento o por adopción, que tengan doble nacionalidad. La ley reglamentará esta excepción y determinará los casos a los cuales ha de aplicarse.</w:t>
      </w:r>
    </w:p>
    <w:p w:rsidR="00FC7BAA" w:rsidRDefault="00FC7BAA">
      <w:pPr>
        <w:spacing w:after="0"/>
        <w:ind w:left="360"/>
        <w:jc w:val="both"/>
        <w:rPr>
          <w:rFonts w:ascii="Arial Narrow" w:eastAsia="Arial Narrow" w:hAnsi="Arial Narrow" w:cs="Arial Narrow"/>
          <w:color w:val="000000"/>
        </w:rPr>
      </w:pP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Las autoridades garantizarán </w:t>
      </w:r>
      <w:r>
        <w:rPr>
          <w:rFonts w:ascii="Arial Narrow" w:eastAsia="Arial Narrow" w:hAnsi="Arial Narrow" w:cs="Arial Narrow"/>
          <w:color w:val="000000"/>
        </w:rPr>
        <w:t xml:space="preserve">la adecuada y efectiva participación de la mujer en los niveles decisorios de la Administración Pública. </w:t>
      </w:r>
    </w:p>
    <w:p w:rsidR="00FC7BAA" w:rsidRDefault="00FC7BAA">
      <w:pPr>
        <w:spacing w:after="0"/>
        <w:ind w:left="360"/>
        <w:jc w:val="both"/>
        <w:rPr>
          <w:rFonts w:ascii="Arial Narrow" w:eastAsia="Arial Narrow" w:hAnsi="Arial Narrow" w:cs="Arial Narrow"/>
          <w:color w:val="000000"/>
        </w:rPr>
      </w:pP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En ningún caso los derechos políticos de cualquier ciudadano podrán ser limitados por autoridad distinta al de un juez competente en el marco de un p</w:t>
      </w:r>
      <w:r>
        <w:rPr>
          <w:rFonts w:ascii="Arial Narrow" w:eastAsia="Arial Narrow" w:hAnsi="Arial Narrow" w:cs="Arial Narrow"/>
          <w:color w:val="000000"/>
        </w:rPr>
        <w:t xml:space="preserve">roceso penal mediante sentencia judicial, a excepción del proceso de </w:t>
      </w:r>
      <w:r>
        <w:rPr>
          <w:rFonts w:ascii="Arial Narrow" w:eastAsia="Arial Narrow" w:hAnsi="Arial Narrow" w:cs="Arial Narrow"/>
        </w:rPr>
        <w:t>pérdida</w:t>
      </w:r>
      <w:r>
        <w:rPr>
          <w:rFonts w:ascii="Arial Narrow" w:eastAsia="Arial Narrow" w:hAnsi="Arial Narrow" w:cs="Arial Narrow"/>
          <w:color w:val="000000"/>
        </w:rPr>
        <w:t xml:space="preserve"> de investidura. </w:t>
      </w:r>
    </w:p>
    <w:p w:rsidR="00FC7BAA" w:rsidRDefault="00FC7BAA">
      <w:pPr>
        <w:spacing w:after="0"/>
        <w:ind w:left="360"/>
        <w:jc w:val="both"/>
        <w:rPr>
          <w:rFonts w:ascii="Arial Narrow" w:eastAsia="Arial Narrow" w:hAnsi="Arial Narrow" w:cs="Arial Narrow"/>
          <w:color w:val="000000"/>
        </w:rPr>
      </w:pP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Parágrafo. En los eventos en que la autoridad competente, con base a la calificación de la investigación, identificara que un servidor</w:t>
      </w:r>
      <w:r>
        <w:rPr>
          <w:rFonts w:ascii="Arial Narrow" w:eastAsia="Arial Narrow" w:hAnsi="Arial Narrow" w:cs="Arial Narrow"/>
        </w:rPr>
        <w:t xml:space="preserve"> </w:t>
      </w:r>
      <w:r>
        <w:rPr>
          <w:rFonts w:ascii="Arial Narrow" w:eastAsia="Arial Narrow" w:hAnsi="Arial Narrow" w:cs="Arial Narrow"/>
          <w:color w:val="000000"/>
        </w:rPr>
        <w:t>público habría posiblemente incurrido en una falta que podría generar como sanción limitación de sus derechos políticos, esta deberá presentar la solicitud de sanción ante juez penal competente, para que, en el marco del proceso especial sancionatorio de s</w:t>
      </w:r>
      <w:r>
        <w:rPr>
          <w:rFonts w:ascii="Arial Narrow" w:eastAsia="Arial Narrow" w:hAnsi="Arial Narrow" w:cs="Arial Narrow"/>
          <w:color w:val="000000"/>
        </w:rPr>
        <w:t xml:space="preserve">ervidores públicos que reglamentará la ley, emita el fallo correspondiente. </w:t>
      </w:r>
    </w:p>
    <w:p w:rsidR="00FC7BAA" w:rsidRDefault="00FC7BAA">
      <w:pPr>
        <w:spacing w:after="0"/>
        <w:jc w:val="both"/>
        <w:rPr>
          <w:rFonts w:ascii="Arial Narrow" w:eastAsia="Arial Narrow" w:hAnsi="Arial Narrow" w:cs="Arial Narrow"/>
        </w:rPr>
      </w:pPr>
    </w:p>
    <w:p w:rsidR="00FC7BAA" w:rsidRDefault="0013018E">
      <w:pPr>
        <w:spacing w:after="0"/>
        <w:ind w:left="360"/>
        <w:jc w:val="both"/>
        <w:rPr>
          <w:rFonts w:ascii="Arial Narrow" w:eastAsia="Arial Narrow" w:hAnsi="Arial Narrow" w:cs="Arial Narrow"/>
          <w:b/>
        </w:rPr>
      </w:pPr>
      <w:r>
        <w:rPr>
          <w:rFonts w:ascii="Arial Narrow" w:eastAsia="Arial Narrow" w:hAnsi="Arial Narrow" w:cs="Arial Narrow"/>
          <w:b/>
        </w:rPr>
        <w:t xml:space="preserve">Esta disposición se aplicará incluso en los casos en que el servidor público ya no se encuentre en el ejercicio del cargo. </w:t>
      </w:r>
    </w:p>
    <w:p w:rsidR="00FC7BAA" w:rsidRDefault="00FC7BAA">
      <w:pPr>
        <w:spacing w:after="0"/>
        <w:ind w:left="360"/>
        <w:jc w:val="both"/>
        <w:rPr>
          <w:rFonts w:ascii="Arial Narrow" w:eastAsia="Arial Narrow" w:hAnsi="Arial Narrow" w:cs="Arial Narrow"/>
          <w:color w:val="000000"/>
        </w:rPr>
      </w:pP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ARTÍCULO 2.</w:t>
      </w:r>
      <w:r>
        <w:rPr>
          <w:rFonts w:ascii="Arial Narrow" w:eastAsia="Arial Narrow" w:hAnsi="Arial Narrow" w:cs="Arial Narrow"/>
          <w:color w:val="000000"/>
        </w:rPr>
        <w:t xml:space="preserve"> Modifíquese el artículo 277 de la Constit</w:t>
      </w:r>
      <w:r>
        <w:rPr>
          <w:rFonts w:ascii="Arial Narrow" w:eastAsia="Arial Narrow" w:hAnsi="Arial Narrow" w:cs="Arial Narrow"/>
          <w:color w:val="000000"/>
        </w:rPr>
        <w:t xml:space="preserve">ución Política el cual quedará así: </w:t>
      </w:r>
    </w:p>
    <w:p w:rsidR="00FC7BAA" w:rsidRDefault="00FC7BAA">
      <w:pPr>
        <w:spacing w:after="0"/>
        <w:ind w:left="360"/>
        <w:jc w:val="both"/>
        <w:rPr>
          <w:rFonts w:ascii="Arial Narrow" w:eastAsia="Arial Narrow" w:hAnsi="Arial Narrow" w:cs="Arial Narrow"/>
          <w:color w:val="000000"/>
        </w:rPr>
      </w:pP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ARTÍCULO 277. El Procurador General de la Nación, por sí o por medio de sus delegados y agentes, tendrá las siguientes funciones:</w:t>
      </w:r>
    </w:p>
    <w:p w:rsidR="00FC7BAA" w:rsidRDefault="00FC7BAA">
      <w:pPr>
        <w:spacing w:after="0"/>
        <w:ind w:left="360"/>
        <w:jc w:val="both"/>
        <w:rPr>
          <w:rFonts w:ascii="Arial Narrow" w:eastAsia="Arial Narrow" w:hAnsi="Arial Narrow" w:cs="Arial Narrow"/>
          <w:color w:val="000000"/>
        </w:rPr>
      </w:pP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1. Vigilar el cumplimiento de la Constitución, las leyes, las decisiones judiciales y l</w:t>
      </w:r>
      <w:r>
        <w:rPr>
          <w:rFonts w:ascii="Arial Narrow" w:eastAsia="Arial Narrow" w:hAnsi="Arial Narrow" w:cs="Arial Narrow"/>
          <w:color w:val="000000"/>
        </w:rPr>
        <w:t xml:space="preserve">os actos administrativos. </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2. Proteger los derechos humanos y asegurar su efectividad, con el auxilio del Defensor del Pueblo. </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lastRenderedPageBreak/>
        <w:t>3. Defender los intereses de la sociedad.</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 4. Defender los intereses colectivos, en especial el ambiente.</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 5. Velar por el ejerc</w:t>
      </w:r>
      <w:r>
        <w:rPr>
          <w:rFonts w:ascii="Arial Narrow" w:eastAsia="Arial Narrow" w:hAnsi="Arial Narrow" w:cs="Arial Narrow"/>
          <w:color w:val="000000"/>
        </w:rPr>
        <w:t>icio diligente y eficiente de las funciones administrativas.</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 6. Ejercer vigilancia superior de la conducta oficial de quienes desempeñen funciones públicas, inclusive las de elección popular atendiendo lo dispuesto en el artículo 40 de la Constitución Pol</w:t>
      </w:r>
      <w:r>
        <w:rPr>
          <w:rFonts w:ascii="Arial Narrow" w:eastAsia="Arial Narrow" w:hAnsi="Arial Narrow" w:cs="Arial Narrow"/>
          <w:color w:val="000000"/>
        </w:rPr>
        <w:t>ítica; ejercer preferentemente el poder disciplinario; adelantar las investigaciones correspondientes, e imponer las respectivas sanciones conforme a la ley.</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7. Intervenir en los procesos y ante las autoridades judiciales o administrativas, cuando sea nece</w:t>
      </w:r>
      <w:r>
        <w:rPr>
          <w:rFonts w:ascii="Arial Narrow" w:eastAsia="Arial Narrow" w:hAnsi="Arial Narrow" w:cs="Arial Narrow"/>
          <w:color w:val="000000"/>
        </w:rPr>
        <w:t xml:space="preserve">sario en defensa del orden jurídico, del patrimonio público, o de los derechos y garantías fundamentales. </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8. Rendir anualmente informe de su gestión al Congreso. </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9. Exigir a los funcionarios públicos y a los particulares la información que considere necesaria. </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10. Las demás que determine la ley. Para el cumplimiento de sus funciones la Procuraduría tendrá atribuciones de policía judicial, y podrá interponer las ac</w:t>
      </w:r>
      <w:r>
        <w:rPr>
          <w:rFonts w:ascii="Arial Narrow" w:eastAsia="Arial Narrow" w:hAnsi="Arial Narrow" w:cs="Arial Narrow"/>
          <w:color w:val="000000"/>
        </w:rPr>
        <w:t xml:space="preserve">ciones que considere necesarias. </w:t>
      </w:r>
    </w:p>
    <w:p w:rsidR="00FC7BAA" w:rsidRDefault="00FC7BAA">
      <w:pPr>
        <w:spacing w:after="0"/>
        <w:ind w:left="360"/>
        <w:jc w:val="both"/>
        <w:rPr>
          <w:rFonts w:ascii="Arial Narrow" w:eastAsia="Arial Narrow" w:hAnsi="Arial Narrow" w:cs="Arial Narrow"/>
          <w:color w:val="000000"/>
        </w:rPr>
      </w:pP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ARTÍCULO 3.</w:t>
      </w:r>
      <w:r>
        <w:rPr>
          <w:rFonts w:ascii="Arial Narrow" w:eastAsia="Arial Narrow" w:hAnsi="Arial Narrow" w:cs="Arial Narrow"/>
          <w:color w:val="000000"/>
        </w:rPr>
        <w:t xml:space="preserve"> Modifíquese el artículo 278 de la Constitución Política el cual quedará así:</w:t>
      </w:r>
    </w:p>
    <w:p w:rsidR="00FC7BAA" w:rsidRDefault="00FC7BAA">
      <w:pPr>
        <w:spacing w:after="0"/>
        <w:ind w:left="360"/>
        <w:jc w:val="both"/>
        <w:rPr>
          <w:rFonts w:ascii="Arial Narrow" w:eastAsia="Arial Narrow" w:hAnsi="Arial Narrow" w:cs="Arial Narrow"/>
          <w:color w:val="000000"/>
        </w:rPr>
      </w:pP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ARTÍCULO 278</w:t>
      </w:r>
      <w:r>
        <w:rPr>
          <w:rFonts w:ascii="Arial Narrow" w:eastAsia="Arial Narrow" w:hAnsi="Arial Narrow" w:cs="Arial Narrow"/>
          <w:b/>
          <w:color w:val="000000"/>
        </w:rPr>
        <w:t>.</w:t>
      </w:r>
      <w:r>
        <w:rPr>
          <w:rFonts w:ascii="Arial Narrow" w:eastAsia="Arial Narrow" w:hAnsi="Arial Narrow" w:cs="Arial Narrow"/>
          <w:color w:val="000000"/>
        </w:rPr>
        <w:t xml:space="preserve"> El Procurador General de la Nación ejercerá directamente las siguientes funciones:</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 </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1. Desvincular del cargo, previa</w:t>
      </w:r>
      <w:r>
        <w:rPr>
          <w:rFonts w:ascii="Arial Narrow" w:eastAsia="Arial Narrow" w:hAnsi="Arial Narrow" w:cs="Arial Narrow"/>
          <w:color w:val="000000"/>
        </w:rPr>
        <w:t xml:space="preserve"> audiencia y mediante decisión motivada, al funcionario público, salvo el de elección popular</w:t>
      </w:r>
      <w:r>
        <w:rPr>
          <w:rFonts w:ascii="Arial Narrow" w:eastAsia="Arial Narrow" w:hAnsi="Arial Narrow" w:cs="Arial Narrow"/>
          <w:b/>
          <w:color w:val="000000"/>
          <w:u w:val="single"/>
        </w:rPr>
        <w:t>,</w:t>
      </w:r>
      <w:r>
        <w:rPr>
          <w:rFonts w:ascii="Arial Narrow" w:eastAsia="Arial Narrow" w:hAnsi="Arial Narrow" w:cs="Arial Narrow"/>
          <w:color w:val="000000"/>
        </w:rPr>
        <w:t xml:space="preserve"> que incurra en alguna de las siguientes faltas: infringir de manera manifiesta la Constitución o la ley; derivar evidente e indebido provecho patrimonial en el e</w:t>
      </w:r>
      <w:r>
        <w:rPr>
          <w:rFonts w:ascii="Arial Narrow" w:eastAsia="Arial Narrow" w:hAnsi="Arial Narrow" w:cs="Arial Narrow"/>
          <w:color w:val="000000"/>
        </w:rPr>
        <w:t>jercicio de su cargo o de sus funciones; obstaculizar, en forma grave, las investigaciones que realice la Procuraduría o una autoridad administrativa o jurisdiccional; obrar con manifiesta negligencia en la investigación y sanción de las faltas disciplinar</w:t>
      </w:r>
      <w:r>
        <w:rPr>
          <w:rFonts w:ascii="Arial Narrow" w:eastAsia="Arial Narrow" w:hAnsi="Arial Narrow" w:cs="Arial Narrow"/>
          <w:color w:val="000000"/>
        </w:rPr>
        <w:t xml:space="preserve">ias de los empleados de su dependencia, o en la denuncia de los hechos punibles de que tenga conocimiento en razón del ejercicio de su cargo. </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2. Emitir conceptos en los procesos disciplinarios que se adelanten contra funcionarios sometidos a fuero especia</w:t>
      </w:r>
      <w:r>
        <w:rPr>
          <w:rFonts w:ascii="Arial Narrow" w:eastAsia="Arial Narrow" w:hAnsi="Arial Narrow" w:cs="Arial Narrow"/>
          <w:color w:val="000000"/>
        </w:rPr>
        <w:t xml:space="preserve">l. </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3. Presentar proyectos de ley sobre materias relativas a su competencia. </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4. Exhortar al Congreso para que expida las leyes que aseguren la promoción, el ejercicio y la protección de los derechos humanos, y exigir su cumplimiento a las autoridades comp</w:t>
      </w:r>
      <w:r>
        <w:rPr>
          <w:rFonts w:ascii="Arial Narrow" w:eastAsia="Arial Narrow" w:hAnsi="Arial Narrow" w:cs="Arial Narrow"/>
          <w:color w:val="000000"/>
        </w:rPr>
        <w:t>etentes.</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 5. Rendir concepto en los procesos de control de constitucionalidad.</w:t>
      </w: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 6. Nombrar y remover, de conformidad con la ley, los funcionarios y empleados de su dependencia. </w:t>
      </w:r>
    </w:p>
    <w:p w:rsidR="00FC7BAA" w:rsidRDefault="00FC7BAA">
      <w:pPr>
        <w:spacing w:after="0"/>
        <w:ind w:left="360"/>
        <w:jc w:val="both"/>
        <w:rPr>
          <w:rFonts w:ascii="Arial Narrow" w:eastAsia="Arial Narrow" w:hAnsi="Arial Narrow" w:cs="Arial Narrow"/>
          <w:color w:val="000000"/>
        </w:rPr>
      </w:pPr>
    </w:p>
    <w:p w:rsidR="00FC7BAA" w:rsidRDefault="0013018E">
      <w:pP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ARTÍCULO 4.</w:t>
      </w:r>
      <w:r>
        <w:rPr>
          <w:rFonts w:ascii="Arial Narrow" w:eastAsia="Arial Narrow" w:hAnsi="Arial Narrow" w:cs="Arial Narrow"/>
          <w:color w:val="000000"/>
        </w:rPr>
        <w:t xml:space="preserve"> El presente Acto Legislativo rige a partir de su promulgación. </w:t>
      </w:r>
    </w:p>
    <w:p w:rsidR="00FC7BAA" w:rsidRDefault="00FC7BAA">
      <w:pPr>
        <w:spacing w:after="0"/>
        <w:jc w:val="both"/>
        <w:rPr>
          <w:rFonts w:ascii="Arial Narrow" w:eastAsia="Arial Narrow" w:hAnsi="Arial Narrow" w:cs="Arial Narrow"/>
          <w:color w:val="000000"/>
        </w:rPr>
      </w:pPr>
    </w:p>
    <w:p w:rsidR="00FC7BAA" w:rsidRDefault="0013018E">
      <w:pPr>
        <w:spacing w:after="0"/>
        <w:ind w:left="360"/>
        <w:jc w:val="both"/>
        <w:rPr>
          <w:rFonts w:ascii="Arial Narrow" w:eastAsia="Arial Narrow" w:hAnsi="Arial Narrow" w:cs="Arial Narrow"/>
          <w:color w:val="FFFFFF"/>
        </w:rPr>
      </w:pPr>
      <w:r>
        <w:rPr>
          <w:rFonts w:ascii="Arial Narrow" w:eastAsia="Arial Narrow" w:hAnsi="Arial Narrow" w:cs="Arial Narrow"/>
          <w:color w:val="FFFFFF"/>
        </w:rPr>
        <w:t>De los y las congresistas,</w:t>
      </w:r>
    </w:p>
    <w:p w:rsidR="00FC7BAA" w:rsidRDefault="00FC7BAA">
      <w:pPr>
        <w:jc w:val="both"/>
        <w:rPr>
          <w:rFonts w:ascii="Arial Narrow" w:eastAsia="Arial Narrow" w:hAnsi="Arial Narrow" w:cs="Arial Narrow"/>
        </w:rPr>
      </w:pPr>
      <w:bookmarkStart w:id="1" w:name="_GoBack"/>
      <w:bookmarkEnd w:id="1"/>
    </w:p>
    <w:tbl>
      <w:tblPr>
        <w:tblStyle w:val="a2"/>
        <w:tblW w:w="10226"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37"/>
        <w:gridCol w:w="5289"/>
      </w:tblGrid>
      <w:tr w:rsidR="00FC7BAA">
        <w:tc>
          <w:tcPr>
            <w:tcW w:w="4937" w:type="dxa"/>
          </w:tcPr>
          <w:p w:rsidR="00FC7BAA" w:rsidRDefault="00FC7BAA">
            <w:pPr>
              <w:jc w:val="both"/>
              <w:rPr>
                <w:rFonts w:ascii="Arial Narrow" w:eastAsia="Arial Narrow" w:hAnsi="Arial Narrow" w:cs="Arial Narrow"/>
              </w:rPr>
            </w:pPr>
          </w:p>
          <w:p w:rsidR="00FC7BAA" w:rsidRDefault="00FC7BAA">
            <w:pPr>
              <w:jc w:val="both"/>
              <w:rPr>
                <w:rFonts w:ascii="Arial Narrow" w:eastAsia="Arial Narrow" w:hAnsi="Arial Narrow" w:cs="Arial Narrow"/>
              </w:rPr>
            </w:pPr>
          </w:p>
          <w:p w:rsidR="00FC7BAA" w:rsidRDefault="0013018E">
            <w:pPr>
              <w:ind w:left="360"/>
              <w:jc w:val="both"/>
              <w:rPr>
                <w:rFonts w:ascii="Arial Narrow" w:eastAsia="Arial Narrow" w:hAnsi="Arial Narrow" w:cs="Arial Narrow"/>
              </w:rPr>
            </w:pPr>
            <w:r>
              <w:rPr>
                <w:rFonts w:ascii="Arial Narrow" w:eastAsia="Arial Narrow" w:hAnsi="Arial Narrow" w:cs="Arial Narrow"/>
              </w:rPr>
              <w:t>_______________________________</w:t>
            </w:r>
          </w:p>
          <w:p w:rsidR="00FC7BAA" w:rsidRDefault="0013018E">
            <w:pPr>
              <w:ind w:left="360"/>
              <w:jc w:val="both"/>
              <w:rPr>
                <w:rFonts w:ascii="Arial Narrow" w:eastAsia="Arial Narrow" w:hAnsi="Arial Narrow" w:cs="Arial Narrow"/>
                <w:b/>
              </w:rPr>
            </w:pPr>
            <w:r>
              <w:rPr>
                <w:rFonts w:ascii="Arial Narrow" w:eastAsia="Arial Narrow" w:hAnsi="Arial Narrow" w:cs="Arial Narrow"/>
                <w:b/>
              </w:rPr>
              <w:t xml:space="preserve">H.R. PEDRO JOSÉ SUAREZ VACCA </w:t>
            </w:r>
          </w:p>
          <w:p w:rsidR="00FC7BAA" w:rsidRDefault="0013018E">
            <w:pPr>
              <w:ind w:left="360"/>
              <w:jc w:val="both"/>
              <w:rPr>
                <w:rFonts w:ascii="Arial Narrow" w:eastAsia="Arial Narrow" w:hAnsi="Arial Narrow" w:cs="Arial Narrow"/>
              </w:rPr>
            </w:pPr>
            <w:r>
              <w:rPr>
                <w:rFonts w:ascii="Arial Narrow" w:eastAsia="Arial Narrow" w:hAnsi="Arial Narrow" w:cs="Arial Narrow"/>
              </w:rPr>
              <w:t>Coordinador Ponente</w:t>
            </w:r>
          </w:p>
        </w:tc>
        <w:tc>
          <w:tcPr>
            <w:tcW w:w="5289" w:type="dxa"/>
          </w:tcPr>
          <w:p w:rsidR="00FC7BAA" w:rsidRDefault="00FC7BAA">
            <w:pPr>
              <w:jc w:val="both"/>
              <w:rPr>
                <w:rFonts w:ascii="Arial Narrow" w:eastAsia="Arial Narrow" w:hAnsi="Arial Narrow" w:cs="Arial Narrow"/>
              </w:rPr>
            </w:pPr>
          </w:p>
          <w:p w:rsidR="00FC7BAA" w:rsidRDefault="00FC7BAA">
            <w:pPr>
              <w:ind w:left="360"/>
              <w:jc w:val="both"/>
              <w:rPr>
                <w:rFonts w:ascii="Arial Narrow" w:eastAsia="Arial Narrow" w:hAnsi="Arial Narrow" w:cs="Arial Narrow"/>
              </w:rPr>
            </w:pPr>
          </w:p>
          <w:p w:rsidR="00FC7BAA" w:rsidRDefault="0013018E">
            <w:pPr>
              <w:ind w:left="360"/>
              <w:jc w:val="both"/>
              <w:rPr>
                <w:rFonts w:ascii="Arial Narrow" w:eastAsia="Arial Narrow" w:hAnsi="Arial Narrow" w:cs="Arial Narrow"/>
              </w:rPr>
            </w:pPr>
            <w:r>
              <w:rPr>
                <w:rFonts w:ascii="Arial Narrow" w:eastAsia="Arial Narrow" w:hAnsi="Arial Narrow" w:cs="Arial Narrow"/>
              </w:rPr>
              <w:t>______________________________________</w:t>
            </w:r>
          </w:p>
          <w:p w:rsidR="00FC7BAA" w:rsidRDefault="0013018E">
            <w:pPr>
              <w:ind w:left="360"/>
              <w:jc w:val="both"/>
              <w:rPr>
                <w:rFonts w:ascii="Arial Narrow" w:eastAsia="Arial Narrow" w:hAnsi="Arial Narrow" w:cs="Arial Narrow"/>
              </w:rPr>
            </w:pPr>
            <w:r>
              <w:rPr>
                <w:rFonts w:ascii="Arial Narrow" w:eastAsia="Arial Narrow" w:hAnsi="Arial Narrow" w:cs="Arial Narrow"/>
                <w:b/>
              </w:rPr>
              <w:t>H.R. ALVARO LEONEL RUEDA CABALLERO</w:t>
            </w:r>
          </w:p>
          <w:p w:rsidR="00FC7BAA" w:rsidRDefault="0013018E">
            <w:pPr>
              <w:ind w:left="360"/>
              <w:jc w:val="both"/>
              <w:rPr>
                <w:rFonts w:ascii="Arial Narrow" w:eastAsia="Arial Narrow" w:hAnsi="Arial Narrow" w:cs="Arial Narrow"/>
              </w:rPr>
            </w:pPr>
            <w:r>
              <w:rPr>
                <w:rFonts w:ascii="Arial Narrow" w:eastAsia="Arial Narrow" w:hAnsi="Arial Narrow" w:cs="Arial Narrow"/>
              </w:rPr>
              <w:t xml:space="preserve">Coordinador Ponente                                             </w:t>
            </w:r>
          </w:p>
        </w:tc>
      </w:tr>
      <w:tr w:rsidR="00FC7BAA">
        <w:tc>
          <w:tcPr>
            <w:tcW w:w="4937" w:type="dxa"/>
          </w:tcPr>
          <w:p w:rsidR="00FC7BAA" w:rsidRDefault="00FC7BAA">
            <w:pPr>
              <w:ind w:left="360"/>
              <w:jc w:val="both"/>
              <w:rPr>
                <w:rFonts w:ascii="Arial Narrow" w:eastAsia="Arial Narrow" w:hAnsi="Arial Narrow" w:cs="Arial Narrow"/>
              </w:rPr>
            </w:pPr>
          </w:p>
          <w:p w:rsidR="00FC7BAA" w:rsidRDefault="00FC7BAA">
            <w:pPr>
              <w:ind w:left="360"/>
              <w:jc w:val="both"/>
              <w:rPr>
                <w:rFonts w:ascii="Arial Narrow" w:eastAsia="Arial Narrow" w:hAnsi="Arial Narrow" w:cs="Arial Narrow"/>
              </w:rPr>
            </w:pPr>
          </w:p>
          <w:p w:rsidR="00FC7BAA" w:rsidRDefault="00FC7BAA">
            <w:pPr>
              <w:jc w:val="both"/>
              <w:rPr>
                <w:rFonts w:ascii="Arial Narrow" w:eastAsia="Arial Narrow" w:hAnsi="Arial Narrow" w:cs="Arial Narrow"/>
              </w:rPr>
            </w:pPr>
          </w:p>
          <w:p w:rsidR="00FC7BAA" w:rsidRDefault="0013018E">
            <w:pPr>
              <w:ind w:left="360"/>
              <w:jc w:val="both"/>
              <w:rPr>
                <w:rFonts w:ascii="Arial Narrow" w:eastAsia="Arial Narrow" w:hAnsi="Arial Narrow" w:cs="Arial Narrow"/>
              </w:rPr>
            </w:pPr>
            <w:r>
              <w:rPr>
                <w:rFonts w:ascii="Arial Narrow" w:eastAsia="Arial Narrow" w:hAnsi="Arial Narrow" w:cs="Arial Narrow"/>
              </w:rPr>
              <w:t>______________________________</w:t>
            </w:r>
          </w:p>
          <w:p w:rsidR="00FC7BAA" w:rsidRDefault="0013018E">
            <w:pPr>
              <w:ind w:left="360"/>
              <w:jc w:val="both"/>
              <w:rPr>
                <w:rFonts w:ascii="Arial Narrow" w:eastAsia="Arial Narrow" w:hAnsi="Arial Narrow" w:cs="Arial Narrow"/>
                <w:b/>
              </w:rPr>
            </w:pPr>
            <w:r>
              <w:rPr>
                <w:rFonts w:ascii="Arial Narrow" w:eastAsia="Arial Narrow" w:hAnsi="Arial Narrow" w:cs="Arial Narrow"/>
                <w:b/>
              </w:rPr>
              <w:t>H.R. RUTH AMELIA CAICEDO ROSERO</w:t>
            </w:r>
          </w:p>
          <w:p w:rsidR="00FC7BAA" w:rsidRDefault="0013018E">
            <w:pPr>
              <w:ind w:left="360"/>
              <w:jc w:val="both"/>
              <w:rPr>
                <w:rFonts w:ascii="Arial Narrow" w:eastAsia="Arial Narrow" w:hAnsi="Arial Narrow" w:cs="Arial Narrow"/>
              </w:rPr>
            </w:pPr>
            <w:r>
              <w:rPr>
                <w:rFonts w:ascii="Arial Narrow" w:eastAsia="Arial Narrow" w:hAnsi="Arial Narrow" w:cs="Arial Narrow"/>
              </w:rPr>
              <w:t>Ponente</w:t>
            </w:r>
          </w:p>
        </w:tc>
        <w:tc>
          <w:tcPr>
            <w:tcW w:w="5289" w:type="dxa"/>
          </w:tcPr>
          <w:p w:rsidR="00FC7BAA" w:rsidRDefault="00FC7BAA">
            <w:pPr>
              <w:ind w:left="360"/>
              <w:jc w:val="both"/>
              <w:rPr>
                <w:rFonts w:ascii="Arial Narrow" w:eastAsia="Arial Narrow" w:hAnsi="Arial Narrow" w:cs="Arial Narrow"/>
              </w:rPr>
            </w:pPr>
          </w:p>
          <w:p w:rsidR="00FC7BAA" w:rsidRDefault="00FC7BAA">
            <w:pPr>
              <w:jc w:val="both"/>
              <w:rPr>
                <w:rFonts w:ascii="Arial Narrow" w:eastAsia="Arial Narrow" w:hAnsi="Arial Narrow" w:cs="Arial Narrow"/>
              </w:rPr>
            </w:pPr>
          </w:p>
          <w:p w:rsidR="00FC7BAA" w:rsidRDefault="00FC7BAA">
            <w:pPr>
              <w:ind w:left="360"/>
              <w:jc w:val="both"/>
              <w:rPr>
                <w:rFonts w:ascii="Arial Narrow" w:eastAsia="Arial Narrow" w:hAnsi="Arial Narrow" w:cs="Arial Narrow"/>
              </w:rPr>
            </w:pPr>
          </w:p>
          <w:p w:rsidR="00FC7BAA" w:rsidRDefault="0013018E">
            <w:pPr>
              <w:ind w:left="360"/>
              <w:jc w:val="both"/>
              <w:rPr>
                <w:rFonts w:ascii="Arial Narrow" w:eastAsia="Arial Narrow" w:hAnsi="Arial Narrow" w:cs="Arial Narrow"/>
              </w:rPr>
            </w:pPr>
            <w:r>
              <w:rPr>
                <w:rFonts w:ascii="Arial Narrow" w:eastAsia="Arial Narrow" w:hAnsi="Arial Narrow" w:cs="Arial Narrow"/>
              </w:rPr>
              <w:t>______________________________________</w:t>
            </w:r>
          </w:p>
          <w:p w:rsidR="00FC7BAA" w:rsidRDefault="0013018E">
            <w:pPr>
              <w:ind w:left="360"/>
              <w:jc w:val="both"/>
              <w:rPr>
                <w:rFonts w:ascii="Arial Narrow" w:eastAsia="Arial Narrow" w:hAnsi="Arial Narrow" w:cs="Arial Narrow"/>
              </w:rPr>
            </w:pPr>
            <w:r>
              <w:rPr>
                <w:rFonts w:ascii="Arial Narrow" w:eastAsia="Arial Narrow" w:hAnsi="Arial Narrow" w:cs="Arial Narrow"/>
                <w:b/>
              </w:rPr>
              <w:t>H.R. JUAN SEBASTIAN GOMEZ GONZALEZ</w:t>
            </w:r>
          </w:p>
          <w:p w:rsidR="00FC7BAA" w:rsidRDefault="0013018E">
            <w:pPr>
              <w:ind w:left="360"/>
              <w:jc w:val="both"/>
              <w:rPr>
                <w:rFonts w:ascii="Arial Narrow" w:eastAsia="Arial Narrow" w:hAnsi="Arial Narrow" w:cs="Arial Narrow"/>
              </w:rPr>
            </w:pPr>
            <w:r>
              <w:rPr>
                <w:rFonts w:ascii="Arial Narrow" w:eastAsia="Arial Narrow" w:hAnsi="Arial Narrow" w:cs="Arial Narrow"/>
              </w:rPr>
              <w:t>Ponente</w:t>
            </w:r>
          </w:p>
        </w:tc>
      </w:tr>
      <w:tr w:rsidR="00FC7BAA">
        <w:tc>
          <w:tcPr>
            <w:tcW w:w="4937" w:type="dxa"/>
          </w:tcPr>
          <w:p w:rsidR="00FC7BAA" w:rsidRDefault="00FC7BAA">
            <w:pPr>
              <w:ind w:left="360"/>
              <w:jc w:val="both"/>
              <w:rPr>
                <w:rFonts w:ascii="Arial Narrow" w:eastAsia="Arial Narrow" w:hAnsi="Arial Narrow" w:cs="Arial Narrow"/>
              </w:rPr>
            </w:pPr>
          </w:p>
          <w:p w:rsidR="00FC7BAA" w:rsidRDefault="00FC7BAA">
            <w:pPr>
              <w:ind w:left="360"/>
              <w:jc w:val="both"/>
              <w:rPr>
                <w:rFonts w:ascii="Arial Narrow" w:eastAsia="Arial Narrow" w:hAnsi="Arial Narrow" w:cs="Arial Narrow"/>
              </w:rPr>
            </w:pPr>
          </w:p>
          <w:p w:rsidR="00FC7BAA" w:rsidRDefault="00FC7BAA">
            <w:pPr>
              <w:jc w:val="both"/>
              <w:rPr>
                <w:rFonts w:ascii="Arial Narrow" w:eastAsia="Arial Narrow" w:hAnsi="Arial Narrow" w:cs="Arial Narrow"/>
              </w:rPr>
            </w:pPr>
          </w:p>
          <w:p w:rsidR="00FC7BAA" w:rsidRDefault="0013018E">
            <w:pPr>
              <w:ind w:left="360"/>
              <w:jc w:val="both"/>
              <w:rPr>
                <w:rFonts w:ascii="Arial Narrow" w:eastAsia="Arial Narrow" w:hAnsi="Arial Narrow" w:cs="Arial Narrow"/>
              </w:rPr>
            </w:pPr>
            <w:r>
              <w:rPr>
                <w:rFonts w:ascii="Arial Narrow" w:eastAsia="Arial Narrow" w:hAnsi="Arial Narrow" w:cs="Arial Narrow"/>
              </w:rPr>
              <w:t>___________________________________</w:t>
            </w:r>
          </w:p>
          <w:p w:rsidR="00FC7BAA" w:rsidRDefault="0013018E">
            <w:pPr>
              <w:ind w:left="360"/>
              <w:jc w:val="both"/>
              <w:rPr>
                <w:rFonts w:ascii="Arial Narrow" w:eastAsia="Arial Narrow" w:hAnsi="Arial Narrow" w:cs="Arial Narrow"/>
                <w:b/>
              </w:rPr>
            </w:pPr>
            <w:r>
              <w:rPr>
                <w:rFonts w:ascii="Arial Narrow" w:eastAsia="Arial Narrow" w:hAnsi="Arial Narrow" w:cs="Arial Narrow"/>
                <w:b/>
              </w:rPr>
              <w:t>H.R. OSCAR RODRIGO CAMPO HURTADO</w:t>
            </w:r>
          </w:p>
          <w:p w:rsidR="00FC7BAA" w:rsidRDefault="0013018E">
            <w:pPr>
              <w:ind w:left="360"/>
              <w:jc w:val="both"/>
              <w:rPr>
                <w:rFonts w:ascii="Arial Narrow" w:eastAsia="Arial Narrow" w:hAnsi="Arial Narrow" w:cs="Arial Narrow"/>
              </w:rPr>
            </w:pPr>
            <w:r>
              <w:rPr>
                <w:rFonts w:ascii="Arial Narrow" w:eastAsia="Arial Narrow" w:hAnsi="Arial Narrow" w:cs="Arial Narrow"/>
              </w:rPr>
              <w:t xml:space="preserve">Ponente </w:t>
            </w:r>
          </w:p>
          <w:p w:rsidR="00FC7BAA" w:rsidRDefault="00FC7BAA">
            <w:pPr>
              <w:ind w:left="360"/>
              <w:jc w:val="both"/>
              <w:rPr>
                <w:rFonts w:ascii="Arial Narrow" w:eastAsia="Arial Narrow" w:hAnsi="Arial Narrow" w:cs="Arial Narrow"/>
              </w:rPr>
            </w:pPr>
          </w:p>
        </w:tc>
        <w:tc>
          <w:tcPr>
            <w:tcW w:w="5289" w:type="dxa"/>
          </w:tcPr>
          <w:p w:rsidR="00FC7BAA" w:rsidRDefault="00FC7BAA">
            <w:pPr>
              <w:ind w:left="360"/>
              <w:jc w:val="both"/>
              <w:rPr>
                <w:rFonts w:ascii="Arial Narrow" w:eastAsia="Arial Narrow" w:hAnsi="Arial Narrow" w:cs="Arial Narrow"/>
              </w:rPr>
            </w:pPr>
          </w:p>
          <w:p w:rsidR="00FC7BAA" w:rsidRDefault="00FC7BAA">
            <w:pPr>
              <w:ind w:left="360"/>
              <w:jc w:val="both"/>
              <w:rPr>
                <w:rFonts w:ascii="Arial Narrow" w:eastAsia="Arial Narrow" w:hAnsi="Arial Narrow" w:cs="Arial Narrow"/>
              </w:rPr>
            </w:pPr>
          </w:p>
          <w:p w:rsidR="00FC7BAA" w:rsidRDefault="00FC7BAA">
            <w:pPr>
              <w:jc w:val="both"/>
              <w:rPr>
                <w:rFonts w:ascii="Arial Narrow" w:eastAsia="Arial Narrow" w:hAnsi="Arial Narrow" w:cs="Arial Narrow"/>
              </w:rPr>
            </w:pPr>
          </w:p>
          <w:p w:rsidR="00FC7BAA" w:rsidRDefault="0013018E">
            <w:pPr>
              <w:ind w:left="360"/>
              <w:jc w:val="both"/>
              <w:rPr>
                <w:rFonts w:ascii="Arial Narrow" w:eastAsia="Arial Narrow" w:hAnsi="Arial Narrow" w:cs="Arial Narrow"/>
              </w:rPr>
            </w:pPr>
            <w:r>
              <w:rPr>
                <w:rFonts w:ascii="Arial Narrow" w:eastAsia="Arial Narrow" w:hAnsi="Arial Narrow" w:cs="Arial Narrow"/>
              </w:rPr>
              <w:t>____________________________</w:t>
            </w:r>
          </w:p>
          <w:p w:rsidR="00FC7BAA" w:rsidRDefault="0013018E">
            <w:pPr>
              <w:ind w:left="360"/>
              <w:jc w:val="both"/>
              <w:rPr>
                <w:rFonts w:ascii="Arial Narrow" w:eastAsia="Arial Narrow" w:hAnsi="Arial Narrow" w:cs="Arial Narrow"/>
                <w:b/>
              </w:rPr>
            </w:pPr>
            <w:r>
              <w:rPr>
                <w:rFonts w:ascii="Arial Narrow" w:eastAsia="Arial Narrow" w:hAnsi="Arial Narrow" w:cs="Arial Narrow"/>
                <w:b/>
              </w:rPr>
              <w:t xml:space="preserve">H.R. ASTRID SÁNCHEZ MONTES DE OCA </w:t>
            </w:r>
          </w:p>
          <w:p w:rsidR="00FC7BAA" w:rsidRDefault="0013018E">
            <w:pPr>
              <w:ind w:left="360"/>
              <w:jc w:val="both"/>
              <w:rPr>
                <w:rFonts w:ascii="Arial Narrow" w:eastAsia="Arial Narrow" w:hAnsi="Arial Narrow" w:cs="Arial Narrow"/>
              </w:rPr>
            </w:pPr>
            <w:r>
              <w:rPr>
                <w:rFonts w:ascii="Arial Narrow" w:eastAsia="Arial Narrow" w:hAnsi="Arial Narrow" w:cs="Arial Narrow"/>
              </w:rPr>
              <w:t xml:space="preserve">Ponente </w:t>
            </w:r>
          </w:p>
        </w:tc>
      </w:tr>
      <w:tr w:rsidR="00FC7BAA">
        <w:tc>
          <w:tcPr>
            <w:tcW w:w="4937" w:type="dxa"/>
          </w:tcPr>
          <w:p w:rsidR="00FC7BAA" w:rsidRDefault="00FC7BAA">
            <w:pPr>
              <w:ind w:left="360"/>
              <w:jc w:val="both"/>
              <w:rPr>
                <w:rFonts w:ascii="Arial Narrow" w:eastAsia="Arial Narrow" w:hAnsi="Arial Narrow" w:cs="Arial Narrow"/>
              </w:rPr>
            </w:pPr>
          </w:p>
          <w:p w:rsidR="00FC7BAA" w:rsidRDefault="00FC7BAA">
            <w:pPr>
              <w:jc w:val="both"/>
              <w:rPr>
                <w:rFonts w:ascii="Arial Narrow" w:eastAsia="Arial Narrow" w:hAnsi="Arial Narrow" w:cs="Arial Narrow"/>
              </w:rPr>
            </w:pPr>
          </w:p>
          <w:p w:rsidR="00FC7BAA" w:rsidRDefault="0013018E">
            <w:pPr>
              <w:ind w:left="360"/>
              <w:jc w:val="both"/>
              <w:rPr>
                <w:rFonts w:ascii="Arial Narrow" w:eastAsia="Arial Narrow" w:hAnsi="Arial Narrow" w:cs="Arial Narrow"/>
              </w:rPr>
            </w:pPr>
            <w:r>
              <w:rPr>
                <w:rFonts w:ascii="Arial Narrow" w:eastAsia="Arial Narrow" w:hAnsi="Arial Narrow" w:cs="Arial Narrow"/>
              </w:rPr>
              <w:t>___________________________________</w:t>
            </w:r>
          </w:p>
          <w:p w:rsidR="00FC7BAA" w:rsidRDefault="0013018E">
            <w:pPr>
              <w:ind w:left="360"/>
              <w:jc w:val="both"/>
              <w:rPr>
                <w:rFonts w:ascii="Arial Narrow" w:eastAsia="Arial Narrow" w:hAnsi="Arial Narrow" w:cs="Arial Narrow"/>
              </w:rPr>
            </w:pPr>
            <w:r>
              <w:rPr>
                <w:rFonts w:ascii="Arial Narrow" w:eastAsia="Arial Narrow" w:hAnsi="Arial Narrow" w:cs="Arial Narrow"/>
                <w:b/>
              </w:rPr>
              <w:t>H.R. HERNAN DARIO CADAVID MARQUEZ</w:t>
            </w:r>
          </w:p>
          <w:p w:rsidR="00FC7BAA" w:rsidRDefault="0013018E">
            <w:pPr>
              <w:ind w:left="360"/>
              <w:jc w:val="both"/>
              <w:rPr>
                <w:rFonts w:ascii="Arial Narrow" w:eastAsia="Arial Narrow" w:hAnsi="Arial Narrow" w:cs="Arial Narrow"/>
              </w:rPr>
            </w:pPr>
            <w:r>
              <w:rPr>
                <w:rFonts w:ascii="Arial Narrow" w:eastAsia="Arial Narrow" w:hAnsi="Arial Narrow" w:cs="Arial Narrow"/>
              </w:rPr>
              <w:t xml:space="preserve">Ponente              </w:t>
            </w:r>
          </w:p>
        </w:tc>
        <w:tc>
          <w:tcPr>
            <w:tcW w:w="5289" w:type="dxa"/>
          </w:tcPr>
          <w:p w:rsidR="00FC7BAA" w:rsidRDefault="00FC7BAA">
            <w:pPr>
              <w:ind w:left="360"/>
              <w:jc w:val="both"/>
              <w:rPr>
                <w:rFonts w:ascii="Arial Narrow" w:eastAsia="Arial Narrow" w:hAnsi="Arial Narrow" w:cs="Arial Narrow"/>
                <w:b/>
              </w:rPr>
            </w:pPr>
          </w:p>
          <w:p w:rsidR="00FC7BAA" w:rsidRDefault="00FC7BAA">
            <w:pPr>
              <w:jc w:val="both"/>
              <w:rPr>
                <w:rFonts w:ascii="Arial Narrow" w:eastAsia="Arial Narrow" w:hAnsi="Arial Narrow" w:cs="Arial Narrow"/>
                <w:b/>
              </w:rPr>
            </w:pPr>
          </w:p>
          <w:p w:rsidR="00FC7BAA" w:rsidRDefault="0013018E">
            <w:pPr>
              <w:ind w:left="360"/>
              <w:jc w:val="both"/>
              <w:rPr>
                <w:rFonts w:ascii="Arial Narrow" w:eastAsia="Arial Narrow" w:hAnsi="Arial Narrow" w:cs="Arial Narrow"/>
              </w:rPr>
            </w:pPr>
            <w:r>
              <w:rPr>
                <w:rFonts w:ascii="Arial Narrow" w:eastAsia="Arial Narrow" w:hAnsi="Arial Narrow" w:cs="Arial Narrow"/>
              </w:rPr>
              <w:t>_________________________________</w:t>
            </w:r>
          </w:p>
          <w:p w:rsidR="00FC7BAA" w:rsidRDefault="0013018E">
            <w:pPr>
              <w:ind w:left="360"/>
              <w:jc w:val="both"/>
              <w:rPr>
                <w:rFonts w:ascii="Arial Narrow" w:eastAsia="Arial Narrow" w:hAnsi="Arial Narrow" w:cs="Arial Narrow"/>
                <w:b/>
              </w:rPr>
            </w:pPr>
            <w:r>
              <w:rPr>
                <w:rFonts w:ascii="Arial Narrow" w:eastAsia="Arial Narrow" w:hAnsi="Arial Narrow" w:cs="Arial Narrow"/>
                <w:b/>
              </w:rPr>
              <w:t>H.R. LUIS ALBERTO ALBÁN URBANO</w:t>
            </w:r>
          </w:p>
          <w:p w:rsidR="00FC7BAA" w:rsidRDefault="0013018E">
            <w:pPr>
              <w:ind w:left="360"/>
              <w:jc w:val="both"/>
              <w:rPr>
                <w:rFonts w:ascii="Arial Narrow" w:eastAsia="Arial Narrow" w:hAnsi="Arial Narrow" w:cs="Arial Narrow"/>
              </w:rPr>
            </w:pPr>
            <w:r>
              <w:rPr>
                <w:rFonts w:ascii="Arial Narrow" w:eastAsia="Arial Narrow" w:hAnsi="Arial Narrow" w:cs="Arial Narrow"/>
              </w:rPr>
              <w:t xml:space="preserve">Ponente    </w:t>
            </w:r>
          </w:p>
        </w:tc>
      </w:tr>
      <w:tr w:rsidR="00FC7BAA">
        <w:tc>
          <w:tcPr>
            <w:tcW w:w="4937" w:type="dxa"/>
          </w:tcPr>
          <w:p w:rsidR="00FC7BAA" w:rsidRDefault="00FC7BAA">
            <w:pPr>
              <w:ind w:left="360"/>
              <w:jc w:val="both"/>
              <w:rPr>
                <w:rFonts w:ascii="Arial Narrow" w:eastAsia="Arial Narrow" w:hAnsi="Arial Narrow" w:cs="Arial Narrow"/>
              </w:rPr>
            </w:pPr>
          </w:p>
          <w:p w:rsidR="00FC7BAA" w:rsidRDefault="00FC7BAA">
            <w:pPr>
              <w:jc w:val="both"/>
              <w:rPr>
                <w:rFonts w:ascii="Arial Narrow" w:eastAsia="Arial Narrow" w:hAnsi="Arial Narrow" w:cs="Arial Narrow"/>
              </w:rPr>
            </w:pPr>
          </w:p>
          <w:p w:rsidR="00FC7BAA" w:rsidRDefault="0013018E">
            <w:pPr>
              <w:jc w:val="both"/>
              <w:rPr>
                <w:rFonts w:ascii="Arial Narrow" w:eastAsia="Arial Narrow" w:hAnsi="Arial Narrow" w:cs="Arial Narrow"/>
              </w:rPr>
            </w:pPr>
            <w:r>
              <w:rPr>
                <w:rFonts w:ascii="Arial Narrow" w:eastAsia="Arial Narrow" w:hAnsi="Arial Narrow" w:cs="Arial Narrow"/>
              </w:rPr>
              <w:t xml:space="preserve">        ___________________________</w:t>
            </w:r>
          </w:p>
          <w:p w:rsidR="00FC7BAA" w:rsidRDefault="0013018E">
            <w:pPr>
              <w:jc w:val="both"/>
              <w:rPr>
                <w:rFonts w:ascii="Arial Narrow" w:eastAsia="Arial Narrow" w:hAnsi="Arial Narrow" w:cs="Arial Narrow"/>
                <w:b/>
              </w:rPr>
            </w:pPr>
            <w:r>
              <w:rPr>
                <w:rFonts w:ascii="Arial Narrow" w:eastAsia="Arial Narrow" w:hAnsi="Arial Narrow" w:cs="Arial Narrow"/>
                <w:b/>
              </w:rPr>
              <w:t xml:space="preserve">       H.R MARELEN CASTILLO TORRES </w:t>
            </w:r>
          </w:p>
          <w:p w:rsidR="00FC7BAA" w:rsidRDefault="0013018E">
            <w:pPr>
              <w:ind w:left="360"/>
              <w:jc w:val="both"/>
              <w:rPr>
                <w:rFonts w:ascii="Arial Narrow" w:eastAsia="Arial Narrow" w:hAnsi="Arial Narrow" w:cs="Arial Narrow"/>
              </w:rPr>
            </w:pPr>
            <w:r>
              <w:rPr>
                <w:rFonts w:ascii="Arial Narrow" w:eastAsia="Arial Narrow" w:hAnsi="Arial Narrow" w:cs="Arial Narrow"/>
              </w:rPr>
              <w:t xml:space="preserve"> Ponente</w:t>
            </w:r>
            <w:r>
              <w:rPr>
                <w:rFonts w:ascii="Arial Narrow" w:eastAsia="Arial Narrow" w:hAnsi="Arial Narrow" w:cs="Arial Narrow"/>
                <w:b/>
              </w:rPr>
              <w:t xml:space="preserve">                 </w:t>
            </w:r>
          </w:p>
        </w:tc>
        <w:tc>
          <w:tcPr>
            <w:tcW w:w="5289" w:type="dxa"/>
          </w:tcPr>
          <w:p w:rsidR="00FC7BAA" w:rsidRDefault="00FC7BAA">
            <w:pPr>
              <w:ind w:left="360"/>
              <w:jc w:val="both"/>
              <w:rPr>
                <w:rFonts w:ascii="Arial Narrow" w:eastAsia="Arial Narrow" w:hAnsi="Arial Narrow" w:cs="Arial Narrow"/>
              </w:rPr>
            </w:pPr>
          </w:p>
          <w:p w:rsidR="00FC7BAA" w:rsidRDefault="00FC7BAA">
            <w:pPr>
              <w:ind w:left="360"/>
              <w:jc w:val="both"/>
              <w:rPr>
                <w:rFonts w:ascii="Arial Narrow" w:eastAsia="Arial Narrow" w:hAnsi="Arial Narrow" w:cs="Arial Narrow"/>
              </w:rPr>
            </w:pPr>
          </w:p>
          <w:p w:rsidR="00FC7BAA" w:rsidRDefault="0013018E">
            <w:pPr>
              <w:ind w:left="360"/>
              <w:jc w:val="both"/>
              <w:rPr>
                <w:rFonts w:ascii="Arial Narrow" w:eastAsia="Arial Narrow" w:hAnsi="Arial Narrow" w:cs="Arial Narrow"/>
              </w:rPr>
            </w:pPr>
            <w:r>
              <w:rPr>
                <w:rFonts w:ascii="Arial Narrow" w:eastAsia="Arial Narrow" w:hAnsi="Arial Narrow" w:cs="Arial Narrow"/>
              </w:rPr>
              <w:t>___________________________</w:t>
            </w:r>
          </w:p>
          <w:p w:rsidR="00FC7BAA" w:rsidRDefault="0013018E">
            <w:pPr>
              <w:ind w:left="360"/>
              <w:jc w:val="both"/>
              <w:rPr>
                <w:rFonts w:ascii="Arial Narrow" w:eastAsia="Arial Narrow" w:hAnsi="Arial Narrow" w:cs="Arial Narrow"/>
                <w:b/>
              </w:rPr>
            </w:pPr>
            <w:r>
              <w:rPr>
                <w:rFonts w:ascii="Arial Narrow" w:eastAsia="Arial Narrow" w:hAnsi="Arial Narrow" w:cs="Arial Narrow"/>
                <w:b/>
              </w:rPr>
              <w:t xml:space="preserve">H.R ORLANDO CASTILLO ADVÍNCULA  </w:t>
            </w:r>
          </w:p>
          <w:p w:rsidR="00FC7BAA" w:rsidRDefault="0013018E">
            <w:pPr>
              <w:ind w:left="360"/>
              <w:jc w:val="both"/>
              <w:rPr>
                <w:rFonts w:ascii="Arial Narrow" w:eastAsia="Arial Narrow" w:hAnsi="Arial Narrow" w:cs="Arial Narrow"/>
              </w:rPr>
            </w:pPr>
            <w:r>
              <w:rPr>
                <w:rFonts w:ascii="Arial Narrow" w:eastAsia="Arial Narrow" w:hAnsi="Arial Narrow" w:cs="Arial Narrow"/>
              </w:rPr>
              <w:t>Ponente</w:t>
            </w:r>
          </w:p>
          <w:p w:rsidR="00FC7BAA" w:rsidRDefault="00FC7BAA">
            <w:pPr>
              <w:ind w:left="360"/>
              <w:jc w:val="both"/>
              <w:rPr>
                <w:rFonts w:ascii="Arial Narrow" w:eastAsia="Arial Narrow" w:hAnsi="Arial Narrow" w:cs="Arial Narrow"/>
              </w:rPr>
            </w:pPr>
          </w:p>
          <w:p w:rsidR="00FC7BAA" w:rsidRDefault="00FC7BAA">
            <w:pPr>
              <w:ind w:left="360"/>
              <w:jc w:val="both"/>
              <w:rPr>
                <w:rFonts w:ascii="Arial Narrow" w:eastAsia="Arial Narrow" w:hAnsi="Arial Narrow" w:cs="Arial Narrow"/>
              </w:rPr>
            </w:pPr>
          </w:p>
          <w:p w:rsidR="00FC7BAA" w:rsidRDefault="00FC7BAA">
            <w:pPr>
              <w:ind w:left="360"/>
              <w:jc w:val="both"/>
              <w:rPr>
                <w:rFonts w:ascii="Arial Narrow" w:eastAsia="Arial Narrow" w:hAnsi="Arial Narrow" w:cs="Arial Narrow"/>
              </w:rPr>
            </w:pPr>
          </w:p>
          <w:p w:rsidR="00FC7BAA" w:rsidRDefault="00FC7BAA">
            <w:pPr>
              <w:ind w:left="360"/>
              <w:jc w:val="both"/>
              <w:rPr>
                <w:rFonts w:ascii="Arial Narrow" w:eastAsia="Arial Narrow" w:hAnsi="Arial Narrow" w:cs="Arial Narrow"/>
              </w:rPr>
            </w:pPr>
          </w:p>
        </w:tc>
      </w:tr>
    </w:tbl>
    <w:p w:rsidR="00FC7BAA" w:rsidRDefault="00FC7BAA"/>
    <w:sectPr w:rsidR="00FC7BAA">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18E" w:rsidRDefault="0013018E">
      <w:pPr>
        <w:spacing w:after="0" w:line="240" w:lineRule="auto"/>
      </w:pPr>
      <w:r>
        <w:separator/>
      </w:r>
    </w:p>
  </w:endnote>
  <w:endnote w:type="continuationSeparator" w:id="0">
    <w:p w:rsidR="0013018E" w:rsidRDefault="0013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194450"/>
      <w:docPartObj>
        <w:docPartGallery w:val="Page Numbers (Bottom of Page)"/>
        <w:docPartUnique/>
      </w:docPartObj>
    </w:sdtPr>
    <w:sdtContent>
      <w:p w:rsidR="00597854" w:rsidRDefault="00597854">
        <w:pPr>
          <w:pStyle w:val="Piedepgina"/>
          <w:jc w:val="center"/>
        </w:pPr>
        <w:r>
          <w:fldChar w:fldCharType="begin"/>
        </w:r>
        <w:r>
          <w:instrText>PAGE   \* MERGEFORMAT</w:instrText>
        </w:r>
        <w:r>
          <w:fldChar w:fldCharType="separate"/>
        </w:r>
        <w:r w:rsidRPr="00597854">
          <w:rPr>
            <w:noProof/>
            <w:lang w:val="es-ES"/>
          </w:rPr>
          <w:t>4</w:t>
        </w:r>
        <w:r>
          <w:fldChar w:fldCharType="end"/>
        </w:r>
      </w:p>
    </w:sdtContent>
  </w:sdt>
  <w:p w:rsidR="00597854" w:rsidRDefault="005978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18E" w:rsidRDefault="0013018E">
      <w:pPr>
        <w:spacing w:after="0" w:line="240" w:lineRule="auto"/>
      </w:pPr>
      <w:r>
        <w:separator/>
      </w:r>
    </w:p>
  </w:footnote>
  <w:footnote w:type="continuationSeparator" w:id="0">
    <w:p w:rsidR="0013018E" w:rsidRDefault="0013018E">
      <w:pPr>
        <w:spacing w:after="0" w:line="240" w:lineRule="auto"/>
      </w:pPr>
      <w:r>
        <w:continuationSeparator/>
      </w:r>
    </w:p>
  </w:footnote>
  <w:footnote w:id="1">
    <w:p w:rsidR="00FC7BAA" w:rsidRDefault="0013018E">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CONSEJO DE ESTADO. Recurso Extraordinario de Revisión. Radicación.11001-03-15-000-2023-00871-00.</w:t>
      </w:r>
    </w:p>
    <w:p w:rsidR="00FC7BAA" w:rsidRDefault="0013018E">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MP. Gabriel Valbuena Hernández.</w:t>
      </w:r>
    </w:p>
    <w:p w:rsidR="00FC7BAA" w:rsidRDefault="00FC7BAA">
      <w:pPr>
        <w:pBdr>
          <w:top w:val="nil"/>
          <w:left w:val="nil"/>
          <w:bottom w:val="nil"/>
          <w:right w:val="nil"/>
          <w:between w:val="nil"/>
        </w:pBdr>
        <w:spacing w:after="0" w:line="240" w:lineRule="auto"/>
        <w:rPr>
          <w:color w:val="000000"/>
          <w:sz w:val="20"/>
          <w:szCs w:val="20"/>
        </w:rPr>
      </w:pPr>
    </w:p>
  </w:footnote>
  <w:footnote w:id="2">
    <w:p w:rsidR="00FC7BAA" w:rsidRDefault="0013018E">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Corte Constitucional de Colombia. Sentencia C-067 de 2003. M.P.: Marco Gerardo Monroy Cabra.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7D66"/>
    <w:multiLevelType w:val="multilevel"/>
    <w:tmpl w:val="3014BB20"/>
    <w:lvl w:ilvl="0">
      <w:start w:val="1"/>
      <w:numFmt w:val="lowerRoman"/>
      <w:lvlText w:val="(%1)"/>
      <w:lvlJc w:val="left"/>
      <w:pPr>
        <w:ind w:left="1473" w:hanging="719"/>
      </w:pPr>
    </w:lvl>
    <w:lvl w:ilvl="1">
      <w:start w:val="1"/>
      <w:numFmt w:val="lowerLetter"/>
      <w:lvlText w:val="%2."/>
      <w:lvlJc w:val="left"/>
      <w:pPr>
        <w:ind w:left="1833" w:hanging="360"/>
      </w:pPr>
    </w:lvl>
    <w:lvl w:ilvl="2">
      <w:start w:val="1"/>
      <w:numFmt w:val="lowerRoman"/>
      <w:lvlText w:val="%3."/>
      <w:lvlJc w:val="right"/>
      <w:pPr>
        <w:ind w:left="2553" w:hanging="180"/>
      </w:pPr>
    </w:lvl>
    <w:lvl w:ilvl="3">
      <w:start w:val="1"/>
      <w:numFmt w:val="decimal"/>
      <w:lvlText w:val="%4."/>
      <w:lvlJc w:val="left"/>
      <w:pPr>
        <w:ind w:left="3273" w:hanging="360"/>
      </w:pPr>
    </w:lvl>
    <w:lvl w:ilvl="4">
      <w:start w:val="1"/>
      <w:numFmt w:val="lowerLetter"/>
      <w:lvlText w:val="%5."/>
      <w:lvlJc w:val="left"/>
      <w:pPr>
        <w:ind w:left="3993" w:hanging="360"/>
      </w:pPr>
    </w:lvl>
    <w:lvl w:ilvl="5">
      <w:start w:val="1"/>
      <w:numFmt w:val="lowerRoman"/>
      <w:lvlText w:val="%6."/>
      <w:lvlJc w:val="right"/>
      <w:pPr>
        <w:ind w:left="4713" w:hanging="180"/>
      </w:pPr>
    </w:lvl>
    <w:lvl w:ilvl="6">
      <w:start w:val="1"/>
      <w:numFmt w:val="decimal"/>
      <w:lvlText w:val="%7."/>
      <w:lvlJc w:val="left"/>
      <w:pPr>
        <w:ind w:left="5433" w:hanging="360"/>
      </w:pPr>
    </w:lvl>
    <w:lvl w:ilvl="7">
      <w:start w:val="1"/>
      <w:numFmt w:val="lowerLetter"/>
      <w:lvlText w:val="%8."/>
      <w:lvlJc w:val="left"/>
      <w:pPr>
        <w:ind w:left="6153" w:hanging="360"/>
      </w:pPr>
    </w:lvl>
    <w:lvl w:ilvl="8">
      <w:start w:val="1"/>
      <w:numFmt w:val="lowerRoman"/>
      <w:lvlText w:val="%9."/>
      <w:lvlJc w:val="right"/>
      <w:pPr>
        <w:ind w:left="6873" w:hanging="180"/>
      </w:pPr>
    </w:lvl>
  </w:abstractNum>
  <w:abstractNum w:abstractNumId="1" w15:restartNumberingAfterBreak="0">
    <w:nsid w:val="2C975506"/>
    <w:multiLevelType w:val="multilevel"/>
    <w:tmpl w:val="29DE73E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505371"/>
    <w:multiLevelType w:val="multilevel"/>
    <w:tmpl w:val="A50A14B8"/>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2A4433"/>
    <w:multiLevelType w:val="multilevel"/>
    <w:tmpl w:val="30546364"/>
    <w:lvl w:ilvl="0">
      <w:start w:val="1"/>
      <w:numFmt w:val="decimal"/>
      <w:lvlText w:val="%1."/>
      <w:lvlJc w:val="left"/>
      <w:pPr>
        <w:ind w:left="1065" w:hanging="705"/>
      </w:pPr>
      <w:rPr>
        <w:b/>
      </w:rPr>
    </w:lvl>
    <w:lvl w:ilvl="1">
      <w:start w:val="1"/>
      <w:numFmt w:val="decimal"/>
      <w:lvlText w:val="%1.%2"/>
      <w:lvlJc w:val="left"/>
      <w:pPr>
        <w:ind w:left="688" w:hanging="405"/>
      </w:pPr>
    </w:lvl>
    <w:lvl w:ilvl="2">
      <w:start w:val="1"/>
      <w:numFmt w:val="decimal"/>
      <w:lvlText w:val="%1.%2.%3"/>
      <w:lvlJc w:val="left"/>
      <w:pPr>
        <w:ind w:left="2490" w:hanging="720"/>
      </w:pPr>
    </w:lvl>
    <w:lvl w:ilvl="3">
      <w:start w:val="1"/>
      <w:numFmt w:val="decimal"/>
      <w:lvlText w:val="%1.%2.%3.%4"/>
      <w:lvlJc w:val="left"/>
      <w:pPr>
        <w:ind w:left="3555" w:hanging="1080"/>
      </w:pPr>
    </w:lvl>
    <w:lvl w:ilvl="4">
      <w:start w:val="1"/>
      <w:numFmt w:val="decimal"/>
      <w:lvlText w:val="%1.%2.%3.%4.%5"/>
      <w:lvlJc w:val="left"/>
      <w:pPr>
        <w:ind w:left="4260" w:hanging="1080"/>
      </w:pPr>
    </w:lvl>
    <w:lvl w:ilvl="5">
      <w:start w:val="1"/>
      <w:numFmt w:val="decimal"/>
      <w:lvlText w:val="%1.%2.%3.%4.%5.%6"/>
      <w:lvlJc w:val="left"/>
      <w:pPr>
        <w:ind w:left="5325" w:hanging="1440"/>
      </w:pPr>
    </w:lvl>
    <w:lvl w:ilvl="6">
      <w:start w:val="1"/>
      <w:numFmt w:val="decimal"/>
      <w:lvlText w:val="%1.%2.%3.%4.%5.%6.%7"/>
      <w:lvlJc w:val="left"/>
      <w:pPr>
        <w:ind w:left="6030" w:hanging="1440"/>
      </w:pPr>
    </w:lvl>
    <w:lvl w:ilvl="7">
      <w:start w:val="1"/>
      <w:numFmt w:val="decimal"/>
      <w:lvlText w:val="%1.%2.%3.%4.%5.%6.%7.%8"/>
      <w:lvlJc w:val="left"/>
      <w:pPr>
        <w:ind w:left="7095" w:hanging="1800"/>
      </w:pPr>
    </w:lvl>
    <w:lvl w:ilvl="8">
      <w:start w:val="1"/>
      <w:numFmt w:val="decimal"/>
      <w:lvlText w:val="%1.%2.%3.%4.%5.%6.%7.%8.%9"/>
      <w:lvlJc w:val="left"/>
      <w:pPr>
        <w:ind w:left="7800" w:hanging="180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AA"/>
    <w:rsid w:val="0013018E"/>
    <w:rsid w:val="00597854"/>
    <w:rsid w:val="00FC7B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6E94"/>
  <w15:docId w15:val="{3E30B466-495C-484E-A490-9FB332A1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CC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A018A0"/>
    <w:pPr>
      <w:ind w:left="720"/>
      <w:contextualSpacing/>
    </w:pPr>
  </w:style>
  <w:style w:type="paragraph" w:styleId="Encabezado">
    <w:name w:val="header"/>
    <w:basedOn w:val="Normal"/>
    <w:link w:val="EncabezadoCar"/>
    <w:uiPriority w:val="99"/>
    <w:unhideWhenUsed/>
    <w:rsid w:val="00F345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52E"/>
  </w:style>
  <w:style w:type="paragraph" w:styleId="Piedepgina">
    <w:name w:val="footer"/>
    <w:basedOn w:val="Normal"/>
    <w:link w:val="PiedepginaCar"/>
    <w:uiPriority w:val="99"/>
    <w:unhideWhenUsed/>
    <w:rsid w:val="00F345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52E"/>
  </w:style>
  <w:style w:type="paragraph" w:styleId="Textonotapie">
    <w:name w:val="footnote text"/>
    <w:basedOn w:val="Normal"/>
    <w:link w:val="TextonotapieCar"/>
    <w:uiPriority w:val="99"/>
    <w:semiHidden/>
    <w:unhideWhenUsed/>
    <w:rsid w:val="004C65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6542"/>
    <w:rPr>
      <w:sz w:val="20"/>
      <w:szCs w:val="20"/>
    </w:rPr>
  </w:style>
  <w:style w:type="character" w:styleId="Refdenotaalpie">
    <w:name w:val="footnote reference"/>
    <w:basedOn w:val="Fuentedeprrafopredeter"/>
    <w:uiPriority w:val="99"/>
    <w:semiHidden/>
    <w:unhideWhenUsed/>
    <w:rsid w:val="004C6542"/>
    <w:rPr>
      <w:vertAlign w:val="superscript"/>
    </w:rPr>
  </w:style>
  <w:style w:type="table" w:styleId="Tablaconcuadrcula">
    <w:name w:val="Table Grid"/>
    <w:basedOn w:val="Tablanormal"/>
    <w:uiPriority w:val="39"/>
    <w:rsid w:val="0092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CI6PCtOEI/D/ILJxVpboYxPRTA==">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7599</Words>
  <Characters>41795</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Katerin Gómez Arenas</dc:creator>
  <cp:lastModifiedBy>Lina Katerin Gómez Arenas</cp:lastModifiedBy>
  <cp:revision>2</cp:revision>
  <dcterms:created xsi:type="dcterms:W3CDTF">2024-09-19T14:28:00Z</dcterms:created>
  <dcterms:modified xsi:type="dcterms:W3CDTF">2024-09-19T14:28:00Z</dcterms:modified>
</cp:coreProperties>
</file>